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23"/>
        <w:gridCol w:w="543"/>
        <w:gridCol w:w="425"/>
        <w:gridCol w:w="465"/>
        <w:gridCol w:w="414"/>
        <w:gridCol w:w="172"/>
        <w:gridCol w:w="187"/>
        <w:gridCol w:w="383"/>
        <w:gridCol w:w="554"/>
        <w:gridCol w:w="172"/>
        <w:gridCol w:w="118"/>
        <w:gridCol w:w="151"/>
        <w:gridCol w:w="300"/>
        <w:gridCol w:w="353"/>
        <w:gridCol w:w="217"/>
        <w:gridCol w:w="570"/>
        <w:gridCol w:w="115"/>
        <w:gridCol w:w="115"/>
        <w:gridCol w:w="419"/>
        <w:gridCol w:w="115"/>
        <w:gridCol w:w="405"/>
        <w:gridCol w:w="115"/>
        <w:gridCol w:w="266"/>
        <w:gridCol w:w="304"/>
        <w:gridCol w:w="317"/>
        <w:gridCol w:w="253"/>
        <w:gridCol w:w="570"/>
        <w:gridCol w:w="172"/>
        <w:gridCol w:w="1422"/>
        <w:gridCol w:w="10"/>
      </w:tblGrid>
      <w:tr w:rsidR="00D71DA0" w:rsidRPr="00D71DA0" w14:paraId="6E35F8BE" w14:textId="77777777" w:rsidTr="5299995C">
        <w:trPr>
          <w:gridAfter w:val="1"/>
          <w:wAfter w:w="10" w:type="dxa"/>
          <w:trHeight w:val="1611"/>
        </w:trPr>
        <w:tc>
          <w:tcPr>
            <w:tcW w:w="6462" w:type="dxa"/>
            <w:gridSpan w:val="17"/>
          </w:tcPr>
          <w:p w14:paraId="3335E8EF" w14:textId="77777777" w:rsidR="00D71DA0" w:rsidRPr="00D71DA0" w:rsidRDefault="00D71DA0" w:rsidP="00D71DA0">
            <w:pPr>
              <w:spacing w:before="120" w:after="0" w:line="240" w:lineRule="auto"/>
              <w:ind w:hanging="45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bookmarkStart w:id="0" w:name="t1"/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Nazwa projektu</w:t>
            </w:r>
          </w:p>
          <w:p w14:paraId="3635F270" w14:textId="77777777" w:rsidR="00D71DA0" w:rsidRPr="00D71DA0" w:rsidRDefault="00D71DA0" w:rsidP="00D71DA0">
            <w:pPr>
              <w:spacing w:after="0" w:line="240" w:lineRule="auto"/>
              <w:ind w:hanging="45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bookmarkStart w:id="1" w:name="t2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projekt rozporządzenia Ministra Zdrowia w sprawie r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2"/>
                <w:szCs w:val="22"/>
                <w:lang w:eastAsia="pl-PL"/>
                <w14:ligatures w14:val="none"/>
              </w:rPr>
              <w:t>ejestru endoprotezoplasty</w:t>
            </w:r>
            <w:bookmarkEnd w:id="1"/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2"/>
                <w:szCs w:val="22"/>
                <w:lang w:eastAsia="pl-PL"/>
                <w14:ligatures w14:val="none"/>
              </w:rPr>
              <w:t>k</w:t>
            </w:r>
          </w:p>
          <w:p w14:paraId="4EA295D1" w14:textId="77777777" w:rsidR="00D71DA0" w:rsidRPr="00D71DA0" w:rsidRDefault="00D71DA0" w:rsidP="00D71DA0">
            <w:pPr>
              <w:spacing w:before="120" w:after="0" w:line="240" w:lineRule="auto"/>
              <w:ind w:hanging="4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Ministerstwo wiodące i ministerstwa współpracujące</w:t>
            </w:r>
          </w:p>
          <w:p w14:paraId="4E5A58AE" w14:textId="77777777" w:rsidR="00D71DA0" w:rsidRPr="00D71DA0" w:rsidRDefault="00D71DA0" w:rsidP="00D71DA0">
            <w:pPr>
              <w:spacing w:after="0" w:line="240" w:lineRule="auto"/>
              <w:ind w:hanging="34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Ministerstwo Zdrowia</w:t>
            </w:r>
            <w:bookmarkEnd w:id="0"/>
          </w:p>
          <w:p w14:paraId="7B08D84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1"/>
                <w14:ligatures w14:val="none"/>
              </w:rPr>
            </w:pPr>
          </w:p>
          <w:p w14:paraId="1D5F4B62" w14:textId="77777777" w:rsid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kern w:val="0"/>
                <w:sz w:val="21"/>
                <w14:ligatures w14:val="none"/>
              </w:rPr>
              <w:t>Osoba odpowiedzialna za projekt w randze Ministra, Sekretarza Stanu lub Podsekretarza Stanu</w:t>
            </w:r>
            <w:r w:rsidRPr="00D71DA0"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14:ligatures w14:val="none"/>
              </w:rPr>
              <w:t xml:space="preserve"> </w:t>
            </w:r>
          </w:p>
          <w:p w14:paraId="4387A8CA" w14:textId="1DD008EE" w:rsidR="004B6FD8" w:rsidRPr="004B6FD8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1"/>
                <w:szCs w:val="21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bCs/>
                <w:kern w:val="0"/>
                <w:sz w:val="21"/>
                <w:szCs w:val="21"/>
                <w14:ligatures w14:val="none"/>
              </w:rPr>
              <w:t>Tomasz Maciejewski – Podsekretarz Stanu w Ministerstwie Zdrowia</w:t>
            </w:r>
          </w:p>
          <w:p w14:paraId="65559A62" w14:textId="77777777" w:rsidR="00D71DA0" w:rsidRPr="00D71DA0" w:rsidRDefault="00D71DA0" w:rsidP="00D71DA0">
            <w:pPr>
              <w:spacing w:before="120" w:after="0" w:line="240" w:lineRule="auto"/>
              <w:ind w:hanging="45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Kontakt do opiekuna merytorycznego projektu</w:t>
            </w:r>
          </w:p>
          <w:p w14:paraId="201084BC" w14:textId="57B27250" w:rsidR="00D71DA0" w:rsidRPr="00D71DA0" w:rsidRDefault="00D71DA0" w:rsidP="00D71DA0">
            <w:pPr>
              <w:spacing w:after="0" w:line="240" w:lineRule="auto"/>
              <w:ind w:hanging="34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Pani Dominika Janiszewska-Kajka, Zastępca Dyrektora Departamentu </w:t>
            </w:r>
            <w:r w:rsidR="00E6106E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Analiz i Strategii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w Ministerstwie Zdrowia,</w:t>
            </w:r>
          </w:p>
          <w:p w14:paraId="34C0DFB0" w14:textId="49391B5C" w:rsidR="00D71DA0" w:rsidRPr="00A47648" w:rsidRDefault="00D71DA0" w:rsidP="00D71DA0">
            <w:pPr>
              <w:spacing w:after="0" w:line="240" w:lineRule="auto"/>
              <w:ind w:hanging="34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s-ES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 xml:space="preserve">tel. (22) 530 02 </w:t>
            </w:r>
            <w:r w:rsidR="003B273B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99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 xml:space="preserve">, e-mail: </w:t>
            </w:r>
            <w:r w:rsidR="003B273B" w:rsidRPr="004F684A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 dep-as@mz.gov.pl </w:t>
            </w:r>
          </w:p>
        </w:tc>
        <w:tc>
          <w:tcPr>
            <w:tcW w:w="4473" w:type="dxa"/>
            <w:gridSpan w:val="12"/>
            <w:shd w:val="clear" w:color="auto" w:fill="FFFFFF" w:themeFill="background1"/>
          </w:tcPr>
          <w:p w14:paraId="66523009" w14:textId="7A1E38AE" w:rsidR="00D71DA0" w:rsidRPr="00D71DA0" w:rsidRDefault="00D71DA0" w:rsidP="3D1B7A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3D1B7A4D">
              <w:rPr>
                <w:rFonts w:ascii="Times New Roman" w:eastAsia="Calibri" w:hAnsi="Times New Roman" w:cs="Times New Roman"/>
                <w:b/>
                <w:bCs/>
                <w:kern w:val="0"/>
                <w:sz w:val="21"/>
                <w:szCs w:val="21"/>
                <w14:ligatures w14:val="none"/>
              </w:rPr>
              <w:t>Data sporządzenia</w:t>
            </w:r>
            <w:r w:rsidRPr="00D71DA0">
              <w:rPr>
                <w:rFonts w:ascii="Times New Roman" w:eastAsia="Calibri" w:hAnsi="Times New Roman" w:cs="Times New Roman"/>
                <w:b/>
                <w:kern w:val="0"/>
                <w:sz w:val="21"/>
                <w:szCs w:val="21"/>
                <w14:ligatures w14:val="none"/>
              </w:rPr>
              <w:br/>
            </w:r>
            <w:r w:rsidR="6F1FB809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2</w:t>
            </w:r>
            <w:r w:rsidR="389AA534" w:rsidRPr="3D1B7A4D">
              <w:rPr>
                <w:rFonts w:ascii="Times New Roman" w:eastAsia="Calibri" w:hAnsi="Times New Roman" w:cs="Times New Roman"/>
                <w:sz w:val="21"/>
                <w:szCs w:val="21"/>
              </w:rPr>
              <w:t>1</w:t>
            </w:r>
            <w:r w:rsidRPr="3D1B7A4D">
              <w:rPr>
                <w:rFonts w:ascii="Times New Roman" w:eastAsia="Calibri" w:hAnsi="Times New Roman" w:cs="Times New Roman"/>
                <w:sz w:val="21"/>
                <w:szCs w:val="21"/>
              </w:rPr>
              <w:t>.</w:t>
            </w:r>
            <w:r w:rsidR="1FC800CE" w:rsidRPr="3D1B7A4D">
              <w:rPr>
                <w:rFonts w:ascii="Times New Roman" w:eastAsia="Calibri" w:hAnsi="Times New Roman" w:cs="Times New Roman"/>
                <w:sz w:val="21"/>
                <w:szCs w:val="21"/>
              </w:rPr>
              <w:t>04</w:t>
            </w:r>
            <w:r w:rsidRPr="3D1B7A4D">
              <w:rPr>
                <w:rFonts w:ascii="Times New Roman" w:eastAsia="Calibri" w:hAnsi="Times New Roman" w:cs="Times New Roman"/>
                <w:sz w:val="21"/>
                <w:szCs w:val="21"/>
              </w:rPr>
              <w:t>.202</w:t>
            </w:r>
            <w:r w:rsidR="1D0C77DB" w:rsidRPr="3D1B7A4D">
              <w:rPr>
                <w:rFonts w:ascii="Times New Roman" w:eastAsia="Calibri" w:hAnsi="Times New Roman" w:cs="Times New Roman"/>
                <w:sz w:val="21"/>
                <w:szCs w:val="21"/>
              </w:rPr>
              <w:t>6</w:t>
            </w:r>
            <w:r w:rsidRPr="3D1B7A4D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r.</w:t>
            </w:r>
          </w:p>
          <w:p w14:paraId="7A09C5F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</w:p>
          <w:p w14:paraId="63FBDEB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 xml:space="preserve">Źródło: </w:t>
            </w:r>
            <w:bookmarkStart w:id="2" w:name="Lista1"/>
          </w:p>
          <w:bookmarkEnd w:id="2"/>
          <w:p w14:paraId="509BA117" w14:textId="7AE71E9F" w:rsidR="00D71DA0" w:rsidRPr="00D71DA0" w:rsidRDefault="7F1451D4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art. 20 ust. 1 ustawy z dnia 28 kwietnia </w:t>
            </w:r>
            <w:r w:rsidR="00D71DA0"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br/>
            </w:r>
            <w:r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2011 r. o systemie informacji w ochronie zdrowia (Dz. U. z 202</w:t>
            </w:r>
            <w:r w:rsidR="48691E13"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r. poz. </w:t>
            </w:r>
            <w:r w:rsidR="5C710214"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208</w:t>
            </w:r>
            <w:r w:rsidR="02963B3F"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, z późn. zm.</w:t>
            </w:r>
            <w:r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</w:p>
          <w:p w14:paraId="7D7FD94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</w:p>
          <w:p w14:paraId="1D60D842" w14:textId="77777777" w:rsidR="006A674B" w:rsidRDefault="00D71DA0" w:rsidP="00D71DA0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Nr w Wykazie prac legislacyjnych Ministra Zdrowia: </w:t>
            </w:r>
          </w:p>
          <w:p w14:paraId="2CC05908" w14:textId="15A9EFB7" w:rsidR="00D71DA0" w:rsidRPr="00D71DA0" w:rsidRDefault="00D71DA0" w:rsidP="00D71DA0">
            <w:pPr>
              <w:spacing w:before="120"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MZ </w:t>
            </w:r>
            <w:r w:rsidR="006A674B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  <w:t>DER</w:t>
            </w:r>
            <w:r w:rsidRPr="00D71DA0">
              <w:rPr>
                <w:rFonts w:ascii="Times New Roman" w:eastAsia="Calibri" w:hAnsi="Times New Roman" w:cs="Times New Roman"/>
                <w:bCs/>
                <w:color w:val="000000"/>
                <w:kern w:val="0"/>
                <w:sz w:val="22"/>
                <w:szCs w:val="22"/>
                <w14:ligatures w14:val="none"/>
              </w:rPr>
              <w:t>1804</w:t>
            </w:r>
          </w:p>
          <w:p w14:paraId="6A245DB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t5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  <w:p w14:paraId="102B750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D71DA0" w:rsidRPr="00D71DA0" w14:paraId="04CE86DC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99CCFF"/>
          </w:tcPr>
          <w:p w14:paraId="27947162" w14:textId="77777777" w:rsidR="00D71DA0" w:rsidRPr="00D71DA0" w:rsidRDefault="00D71DA0" w:rsidP="00D71DA0">
            <w:pPr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color w:val="FFFFFF"/>
                <w:kern w:val="0"/>
                <w:sz w:val="32"/>
                <w:szCs w:val="3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FFFFFF"/>
                <w:kern w:val="0"/>
                <w:sz w:val="32"/>
                <w:szCs w:val="32"/>
                <w14:ligatures w14:val="none"/>
              </w:rPr>
              <w:t>OCENA SKUTKÓW REGULACJI</w:t>
            </w:r>
          </w:p>
        </w:tc>
      </w:tr>
      <w:tr w:rsidR="00D71DA0" w:rsidRPr="00D71DA0" w14:paraId="7B330F56" w14:textId="77777777" w:rsidTr="5299995C">
        <w:trPr>
          <w:gridAfter w:val="1"/>
          <w:wAfter w:w="10" w:type="dxa"/>
          <w:trHeight w:val="333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021859A0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  <w:t>Jaki problem jest rozwiązywany?</w:t>
            </w:r>
            <w:bookmarkStart w:id="3" w:name="Wybór1"/>
            <w:bookmarkEnd w:id="3"/>
          </w:p>
        </w:tc>
      </w:tr>
      <w:tr w:rsidR="00D71DA0" w:rsidRPr="00D71DA0" w14:paraId="6775B247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FFFFFF" w:themeFill="background1"/>
          </w:tcPr>
          <w:p w14:paraId="0829B969" w14:textId="2090886B" w:rsidR="004B6FD8" w:rsidRPr="004B6FD8" w:rsidRDefault="1420CEF0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Rejestr endoprotezoplastyk został utworzony rozporządzeniem Ministra Zdrowia z dnia 3 grudnia 2019 r. w sprawie rejestru endoprotezoplastyk (Dz.</w:t>
            </w:r>
            <w:r w:rsidR="20C5E23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U. poz. 2409), wydanym na podstawie art. 20 ust. 1 ustawy z dnia 28 kwietnia 2011 r.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o systemie informacji w ochronie zdrowia</w:t>
            </w:r>
            <w:r w:rsidR="1E9DF14C"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.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14:paraId="43BAB900" w14:textId="77777777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Celem projektowanego rozporządzenia jest wdrożenie rozwiązań o charakterze </w:t>
            </w:r>
            <w:proofErr w:type="spellStart"/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deregulacyjnym</w:t>
            </w:r>
            <w:proofErr w:type="spellEnd"/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, które umożliwią podmiotom obowiązanym raportowanie jedynie niezbędnych do funkcjonowania rejestru danych i identyfikatorów, eliminując przy tym obowiązek raportowania tych danych, których dalsze przetwarzanie jest niecelowe oraz nie charakteryzujące się wartością statystyczno-analityczną. Ponadto podczas kilku lat funkcjonowania rejestru pojawiła się konieczność wprowadzenia nowych rozwiązań, zapewniających systematyczny proces monitorowania danych dotyczących endoprotezoplastyk i wprowadzenia ustrukturyzowanego systemu, co umożliwi poznanie rzeczywistego zapotrzebowania na endoprotezoplastykę, informacji o zabiegach, a także bardziej racjonalne projektowanie wydatków przeznaczanych na ten cel. </w:t>
            </w:r>
          </w:p>
          <w:p w14:paraId="70E049A2" w14:textId="64A900DE" w:rsidR="00D71DA0" w:rsidRPr="00D71DA0" w:rsidRDefault="1420CEF0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Wprowadzenie rozwiązań proponowanych w projektowanym rozporządzeniu jest możliwe wyłącznie przez wydanie nowego aktu wykonawczego. Jest to spowodowane tym, że na podstawie art. 65 ustawy z dnia 16 czerwca 2023 r. o jakości w opiece zdrowotnej i bezpieczeństwie pacjenta (Dz.</w:t>
            </w:r>
            <w:r w:rsidR="20C5E23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U. poz. 1692) dotychczasowe przepisy wykonawcze wydane na podstawie art. 20 ust. 1 ustawy z dnia 28 kwietnia 2011 r. o systemie informacji w ochronie zdrowia, zachowują moc nie dłużej niż do dnia 31 grudnia 2027 r. Natomiast § 34 rozporządzenia Prezesa Rady Ministrów z dnia 20 czerwca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2002 r. w sprawie „Zasad techniki prawodawczej” (Dz. U. z 2016 r. poz. 283) stanowi, że nie nowelizuje się aktu wykonawczego zachowanego czasowo w mocy przez nową ustawę, chyba że ustawa ta wyraźnie przewiduje taką możliwość. Z uwagi na powyższe, aby wprowadzić proponowane rozwiązania oraz zapewnić ciągłość funkcjonowania rejestru niezbędne jest wydanie nowego rozporządzenia.</w:t>
            </w:r>
          </w:p>
        </w:tc>
      </w:tr>
      <w:tr w:rsidR="00D71DA0" w:rsidRPr="00D71DA0" w14:paraId="5ECEAF59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29453353" w14:textId="21E82AC3" w:rsidR="00D71DA0" w:rsidRPr="00D71DA0" w:rsidRDefault="00D71DA0" w:rsidP="5299995C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5299995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Rekomendowane rozwiązanie, w tym planowane narzędzia </w:t>
            </w:r>
            <w:r w:rsidR="491DE070" w:rsidRPr="5299995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2"/>
                <w:szCs w:val="22"/>
              </w:rPr>
              <w:t>interwencji</w:t>
            </w:r>
            <w:r w:rsidRPr="5299995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2"/>
                <w:szCs w:val="22"/>
              </w:rPr>
              <w:t xml:space="preserve"> i oczekiwany efekt</w:t>
            </w:r>
          </w:p>
        </w:tc>
      </w:tr>
      <w:tr w:rsidR="00D71DA0" w:rsidRPr="00D71DA0" w14:paraId="4D52CBF7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</w:tcPr>
          <w:p w14:paraId="2877CD97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Rozwiązaniem powyższych problemów jest dalsze funkcjonowanie rejestru endoprotezoplastyk. </w:t>
            </w:r>
          </w:p>
          <w:p w14:paraId="1716F44C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Dalsze prowadzenie rejestru pozwoli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lang w:eastAsia="pl-PL" w:bidi="pl-PL"/>
                <w14:ligatures w14:val="none"/>
              </w:rPr>
              <w:t>na:</w:t>
            </w:r>
          </w:p>
          <w:p w14:paraId="66A6C44D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prowadzenie analiz statystycznych dotyczących m.in.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: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liczby wykonanych poszczególnych endoprotez stawowych w danym okresie, liczby występujących powikłań, liczby i rodzajów najczęściej wszczepianych elementów, wskazanie świadczeniodawców, którzy wszczepiają najwięcej poszczególnych endoprotez, wskazanie świadczeniodawców, którzy wykonują zabiegi rewizyjne wraz z liczbą zabiegów, porównanie danych dla jednego województwa, dla kilku jak i dla całego kraju, przedstawienie migracji pacjentów między województwami w celu uzyskania świadczenia endoprotezoplastyki, określenie liczby i rodzajów endoprotez;</w:t>
            </w:r>
          </w:p>
          <w:p w14:paraId="26C59CC2" w14:textId="2B6824E0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obserwację skuteczności implantacji, a przede wszystkim okresy użyteczności poszczególnych rodzajów i typów endoprotez</w:t>
            </w:r>
            <w:r w:rsidR="0066172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;</w:t>
            </w:r>
          </w:p>
          <w:p w14:paraId="061B8FB4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prowadzenia analiz efektywności danych typów endoprotez w odniesieniu np. do wieku, rozpoznania;</w:t>
            </w:r>
          </w:p>
          <w:p w14:paraId="6A649BF8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prowadzenie analiz pozwalających na podejmowanie optymalnych decyzji związanych z leczeniem chorych;</w:t>
            </w:r>
          </w:p>
          <w:p w14:paraId="30C0600C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podnoszenie standardów leczenia;</w:t>
            </w:r>
          </w:p>
          <w:p w14:paraId="5F3175DD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poprawę jakości i zakresu odpowiednich danych dotyczących operacji wymiany stawu w celu wczesnego ostrzegania o kwestiach związanych z bezpieczeństwem pacjentów;</w:t>
            </w:r>
          </w:p>
          <w:p w14:paraId="07838065" w14:textId="77777777" w:rsidR="004B6FD8" w:rsidRPr="00D71DA0" w:rsidRDefault="004B6FD8" w:rsidP="004B6FD8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7)</w:t>
            </w:r>
            <w:r w:rsidRPr="00D71DA0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ab/>
              <w:t xml:space="preserve"> planowanie przez usługodawców zakupu wyrobów medycznych, które dzięki analizom prowadzonym w rejestrze wpłyną na optymalizację zakupów wysokiej jakości implantów.</w:t>
            </w:r>
          </w:p>
          <w:p w14:paraId="5EFB45C8" w14:textId="50090812" w:rsidR="00D71DA0" w:rsidRDefault="1420CEF0" w:rsidP="004B6FD8">
            <w:pPr>
              <w:spacing w:after="0" w:line="240" w:lineRule="auto"/>
              <w:jc w:val="both"/>
            </w:pPr>
            <w:r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Wysoka jakość danych zapewni wysokie prawdopodobieństwo poprawności wniosków wyciąganych na podstawie zebranych informacji, a tym samym racjonalne podstawy do podejmowania decyzji kształtujących politykę zdrowotną</w:t>
            </w:r>
            <w:r w:rsidR="004B6FD8">
              <w:br/>
            </w:r>
            <w:r w:rsidRPr="0BE9357E">
              <w:rPr>
                <w:rFonts w:ascii="Times New Roman" w:eastAsia="Calibri" w:hAnsi="Times New Roman" w:cs="Times New Roman"/>
                <w:sz w:val="22"/>
                <w:szCs w:val="22"/>
              </w:rPr>
              <w:t>i finansową w obszarze endoprotezoplastyki.</w:t>
            </w:r>
          </w:p>
          <w:p w14:paraId="0F1B9E2F" w14:textId="4184AAAD" w:rsidR="0BE9357E" w:rsidRDefault="0BE9357E" w:rsidP="0BE935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14:paraId="5457BBAA" w14:textId="3692BD77" w:rsidR="00054145" w:rsidRDefault="0C184E19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Projektowane rozporządzenie zakłada wprowadzenie zmian poprzez:</w:t>
            </w:r>
          </w:p>
          <w:p w14:paraId="410FE0CC" w14:textId="3CE6DE08" w:rsidR="00054145" w:rsidRPr="00A76A61" w:rsidRDefault="0C184E19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lastRenderedPageBreak/>
              <w:t xml:space="preserve">1) brak wymogu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przekazywani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do rejestru endoprotezoplastyk danych dotyczących badań sekcyjnych wszczepionej endoprotezy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 co w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ynika z braku konieczności wykonywania takich badań w praktyce medycznej, co sprawia, że raportowanie danych ich dotyczących jest niezasadne i nieprzydatne dla celów monitoringu jakości leczenia oraz skuteczności procedur endoprotezoplastyki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0B8C2F7C" w14:textId="35663BFF" w:rsidR="00054145" w:rsidRDefault="0C184E19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2) brak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obowiązku raportowania informacji o przedoperacyjnych czynnikach ryzyka umożliwiających kalkulacje skali ryzyka według wybranej i obowiązującej w rejestrze klasyfikacji, celem eliminacji potencjalnej niejednoznaczności co do zakresu czynników</w:t>
            </w:r>
            <w:r w:rsidR="64468309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64468309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co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pozwala na zawężenie zakresu danych gromadzonych w rejestrze do przedoperacyjnych czynników ryzyka. Celem działania jest także pozostawienie sposobu wskazywania przedoperacyjnych czynników ryzyka po stronie podmiotu prowadzącego rejestr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52242E3B" w14:textId="33D3AA1F" w:rsidR="003840FC" w:rsidRDefault="0C184E19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3)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brak wymogu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przekazywania przez usługodawców informacji o produktach leczniczych</w:t>
            </w:r>
            <w:r w:rsidR="43D3701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przyjmowanych przez usługobiorcę przed przyjęciem do szpitala w związku z chorobami przewlekłymi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, </w:t>
            </w:r>
            <w:r w:rsidRPr="0005414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stosowanych w trakcie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hospitalizacji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zleconych przy wypisie oraz o dalszych planach i zaleceniach po wypisie obejmujących diagnostykę, leczenie i rehabilitację. </w:t>
            </w:r>
          </w:p>
          <w:p w14:paraId="2BF08E6A" w14:textId="18AC80FA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4)</w:t>
            </w:r>
            <w:r w:rsidRPr="00ED1488">
              <w:t xml:space="preserve">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wskazan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ie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obowiąz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ku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przetwarzania informacji o przedoperacyjnych czynnikach ryzyka. Przetwarzanie informacji w tej formie pozwala na jednoznaczną i precyzyjną interpretację oraz eliminuje potencjalne niejednoznaczności odnośnie do zakresu czynników objętych przepisem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5B57ABC4" w14:textId="603E6C83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5)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uszczegółowi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enie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 że w rejestrze przetwarza się dane i identyfikatory obejmujące jednostkowe dane medyczne dotyczące usługobiorców w postaci kodu rozpoznania głównego oraz nie więcej niż trzech najważniejszych przyczyn współistniejących według Międzynarodowej Statystycznej Klasyfikacji Chorób i Problemów Zdrowotnych ICD-10, a także kody zrealizowanych istotnych procedur medycznych według Międzynarodowej Klasyfikacji Procedur Medycznych ICD-9 PL CM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41345722" w14:textId="66D36DC3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6)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obowiązek przetwarzania informacji o ryzyku operacyjnym wyrażonym skalą American Society of Anesthesiologists (ASA), która ocenia ryzyko operacyjne związane z wystąpieniem poważnych powikłań w trakcie zabiegu lub po jego przeprowadzeniu oraz umożliwia lepszą ocenę wyników pooperacyjnych, poprzez precyzyjną ocenę stanu pacjenta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; </w:t>
            </w:r>
          </w:p>
          <w:p w14:paraId="5A461C96" w14:textId="1A071C9E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7)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obowiązek przetwarzania danych dotyczących typu i średnicy artykulacji – w przypadku świadczeń pierwotnej i rewizyjnej endoprotezoplastyki stawu biodrowego, </w:t>
            </w:r>
            <w:r w:rsidR="59326567"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kolanowego</w:t>
            </w:r>
            <w:r w:rsidR="5932656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ramiennego i łokciowego. Uzyskanie powyżej wskazanych informacji pozwoli określić prawidłowość stosowanej artykulacji, która ma znaczący wpływ na powstawanie powikłań pooperacyjnych.</w:t>
            </w:r>
          </w:p>
          <w:p w14:paraId="6EC54E29" w14:textId="7A2AF7D3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8) </w:t>
            </w:r>
            <w:r w:rsidRPr="00ED148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wprowadzenie w § </w:t>
            </w:r>
            <w:r w:rsidR="349E1E03" w:rsidRPr="5299995C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7</w:t>
            </w:r>
            <w:r w:rsidRPr="5299995C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pkt 3 lit. s obowiązku raportowania informacji o powikłaniach po zabiegach endoprotezoplastyk stawowych w trakcie hospitalizacji</w:t>
            </w:r>
            <w:r w:rsidR="59326567" w:rsidRPr="5299995C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;</w:t>
            </w:r>
          </w:p>
          <w:p w14:paraId="5334EE4A" w14:textId="76F1938B" w:rsidR="00ED1488" w:rsidRDefault="43D3701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9)</w:t>
            </w:r>
            <w:r w:rsidR="5ABCC9F4"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przetwarzanie danych w postaci wyniku badania bakteriologicznego po sonikacji usuniętej endoprotezy, jeżeli przeprowadzono takie badanie. Treść przepisu w proponowanym brzmieniu pozwoli na wprowadzenie dodatkowych informacji o patogenie powodującym zapalenie okołoprotezowe do rejestru endoprotezoplastyk, co jest bardzo istotne dla monitorowania powikłań infekcyjnych po endoprotezoplastykach.</w:t>
            </w:r>
          </w:p>
          <w:p w14:paraId="41EB6F10" w14:textId="7963918A" w:rsidR="00ED1488" w:rsidRPr="00103789" w:rsidRDefault="43D37012" w:rsidP="0BE935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1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0) </w:t>
            </w:r>
            <w:r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przetwarzanie informacji o użyciu ramienia robotycznego lub nawigacji w przypadku świadczeń pierwotnej i rewizyjnej endoprotezoplastyki stawu biodrowego i kolanowego. Przetwarzanie informacji o zastosowaniu robota lub nawigacji pozwoli monitorować wzrost ilościowy endoprotez wykonywanych w ten sposób oraz umożliwi ich porównywanie z endoprotezami wykonywanymi be</w:t>
            </w:r>
            <w:r w:rsidR="00CC3022"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BE9357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 pomocy robota i nawigacji.</w:t>
            </w:r>
          </w:p>
          <w:p w14:paraId="762039B5" w14:textId="0F11377C" w:rsidR="008C7250" w:rsidRPr="00D71DA0" w:rsidRDefault="00CC3022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Jednocześnie, rejestr jest prowadzony z wykorzystaniem systemu teleinformatycznego, do którego przekazują dane wskazani </w:t>
            </w:r>
            <w:r w:rsidRPr="5299995C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w </w:t>
            </w:r>
            <w:r w:rsidRPr="00CC302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§ </w:t>
            </w:r>
            <w:r w:rsidR="642AF44F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 w:rsidRPr="5299995C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usługodawcy. </w:t>
            </w:r>
            <w:r w:rsidR="00084C37" w:rsidRPr="5299995C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Ponadto, zadanie prowadzenia rejestru nałożone zostało na Narodowy Fundusz Zdrowia, w zakresie gromadzenia i walidacji danych oraz technicznego utrzymania rejestru oraz Samodzielny Publiczny Szpital Kliniczny im. prof. Adama Grucy Centrum Medycznego Kształcenia Podyplomowego, w zakresie prowadzenia nadzoru merytorycznego, analizy jakości implantów i udzielanych świadczeń opieki zdrowotnej, w tym powikłań i reimplantacji.</w:t>
            </w:r>
          </w:p>
        </w:tc>
      </w:tr>
      <w:tr w:rsidR="00D71DA0" w:rsidRPr="00D71DA0" w14:paraId="2DE2DF3B" w14:textId="77777777" w:rsidTr="5299995C">
        <w:trPr>
          <w:gridAfter w:val="1"/>
          <w:wAfter w:w="10" w:type="dxa"/>
          <w:trHeight w:val="307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7C679C44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2"/>
                <w:szCs w:val="22"/>
                <w14:ligatures w14:val="none"/>
              </w:rPr>
              <w:lastRenderedPageBreak/>
              <w:t>Jak problem został rozwiązany w innych krajach, w szczególności krajach członkowskich OECD/UE</w:t>
            </w: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?</w:t>
            </w:r>
            <w:r w:rsidRPr="00D71DA0">
              <w:rPr>
                <w:rFonts w:ascii="Times New Roman" w:eastAsia="Calibri" w:hAnsi="Times New Roman" w:cs="Times New Roman"/>
                <w:i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D71DA0" w:rsidRPr="00D71DA0" w14:paraId="0402D59C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</w:tcPr>
          <w:p w14:paraId="66252E53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Problem braku narzędzi do gromadzenia danych pozwalających na monitorowanie jakości świadczeń opieki zdrowotnej, efektywności technologii medycznych i kosztów jest rozwiązany w innych krajach przez tworzenie rejestrów medycznych.</w:t>
            </w:r>
          </w:p>
          <w:p w14:paraId="3B6F06CF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Przykładowymi rejestrami endoprotez w innych krajach są w:</w:t>
            </w:r>
          </w:p>
          <w:p w14:paraId="2D65192E" w14:textId="77777777" w:rsidR="004B6FD8" w:rsidRPr="00D71DA0" w:rsidRDefault="004B6FD8" w:rsidP="004B6FD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</w:pP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  <w:t>Wielkiej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  <w:t>Brytanii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n-US"/>
                <w14:ligatures w14:val="none"/>
              </w:rPr>
              <w:t xml:space="preserve"> –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  <w:t>The National Joint Registry (NJR) for England, Wales, Northern Ireland and the Isle of Man.</w:t>
            </w:r>
          </w:p>
          <w:p w14:paraId="1A83B55B" w14:textId="77777777" w:rsidR="004B6FD8" w:rsidRPr="00D71DA0" w:rsidRDefault="004B6FD8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powstał w 2002 r. w celu monitorowania operacji wszczepienia endoprotez i wymiany implantów (co najmniej dane dotyczące liczby operacji), monitorowania efektywności stosowanych procedur chirurgicznych, poprawy standardu świadczeń wszczepienia i wymiany implantów. Rejestr jest wykorzystywany również do kalkulowania taryf za operacje wszczepienia lub wymiany implantów stawów biodrowych i kolanowych.</w:t>
            </w:r>
          </w:p>
          <w:p w14:paraId="49D12E03" w14:textId="16242594" w:rsidR="004B6FD8" w:rsidRPr="00D71DA0" w:rsidRDefault="1420CEF0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gromadzi informacje o wszystkich operacjach wymiany stawów biodrowych, kolanowych, łokciowych</w:t>
            </w:r>
            <w:r w:rsidR="13047972"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</w:rPr>
              <w:t>i barkowych.</w:t>
            </w:r>
          </w:p>
          <w:p w14:paraId="78DF0DA4" w14:textId="77777777" w:rsidR="004B6FD8" w:rsidRPr="00D71DA0" w:rsidRDefault="004B6FD8" w:rsidP="004B6FD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Szwecji – 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Swedish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Knee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 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Arthroplasty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 xml:space="preserve"> Register</w:t>
            </w:r>
          </w:p>
          <w:p w14:paraId="201B43A4" w14:textId="77777777" w:rsidR="004B6FD8" w:rsidRPr="00D71DA0" w:rsidRDefault="004B6FD8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powstał w 1975 r. Rejestr początkowo obejmował operacje stawów kolanowych a następnie był rozszerzany (stawy biodrowe od 1979).</w:t>
            </w:r>
          </w:p>
          <w:p w14:paraId="50FEB62E" w14:textId="77777777" w:rsidR="004B6FD8" w:rsidRPr="00D71DA0" w:rsidRDefault="004B6FD8" w:rsidP="004B6FD8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Rejestr gromadzi dane epidemiologiczne, a także dane dotyczące operacji wszczepienia i wymiany implantów, jakości używanych implantów, jakości stosowanych procedur, wyników leczenia w perspektywie 90 dni, kosztów ponoszonych w związku z operacjami. Rejestr prowadzony jest w celu poprawy jakości świadczeń opieki zdrowotnej oraz monitorowania efektywności kosztowej stosowanych rozwiązań.</w:t>
            </w:r>
          </w:p>
          <w:p w14:paraId="569FE71D" w14:textId="77777777" w:rsidR="004B6FD8" w:rsidRPr="00D71DA0" w:rsidRDefault="004B6FD8" w:rsidP="004B6FD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</w:pP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  <w:t>Kanadzie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  <w:t xml:space="preserve"> – Canadian Joint Replacement Registry (CJRR)</w:t>
            </w:r>
          </w:p>
          <w:p w14:paraId="19B3063B" w14:textId="4F722CA9" w:rsidR="00D71DA0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:lang w:val="en-US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lastRenderedPageBreak/>
              <w:t xml:space="preserve">Rejestr utworzono w 2001 r. W rejestrze gromadzone są dane epidemiologiczne dotyczące wszczepienia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br/>
              <w:t xml:space="preserve">i wymiany implantów, dane kliniczne i dane dotyczące stosowanych implantów. Rejestr gromadzi informacje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br/>
              <w:t>o operacjach stawów kolanowego i biodrowego.</w:t>
            </w:r>
          </w:p>
        </w:tc>
      </w:tr>
      <w:tr w:rsidR="00D71DA0" w:rsidRPr="00D71DA0" w14:paraId="7CAB2CF0" w14:textId="77777777" w:rsidTr="5299995C">
        <w:trPr>
          <w:gridAfter w:val="1"/>
          <w:wAfter w:w="10" w:type="dxa"/>
          <w:trHeight w:val="359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7BC982C8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Podmioty, na które oddziałuje projekt</w:t>
            </w:r>
          </w:p>
        </w:tc>
      </w:tr>
      <w:tr w:rsidR="00D71DA0" w:rsidRPr="00D71DA0" w14:paraId="1A794546" w14:textId="77777777" w:rsidTr="5299995C">
        <w:trPr>
          <w:gridAfter w:val="1"/>
          <w:wAfter w:w="10" w:type="dxa"/>
          <w:trHeight w:val="142"/>
        </w:trPr>
        <w:tc>
          <w:tcPr>
            <w:tcW w:w="2291" w:type="dxa"/>
            <w:gridSpan w:val="3"/>
          </w:tcPr>
          <w:p w14:paraId="4DE7DDCF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Grupa</w:t>
            </w:r>
          </w:p>
        </w:tc>
        <w:tc>
          <w:tcPr>
            <w:tcW w:w="2465" w:type="dxa"/>
            <w:gridSpan w:val="8"/>
          </w:tcPr>
          <w:p w14:paraId="53353A52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Wielkość</w:t>
            </w:r>
          </w:p>
        </w:tc>
        <w:tc>
          <w:tcPr>
            <w:tcW w:w="3141" w:type="dxa"/>
            <w:gridSpan w:val="12"/>
          </w:tcPr>
          <w:p w14:paraId="3C0B39C0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Źródło danych</w:t>
            </w:r>
            <w:r w:rsidRPr="00D71DA0" w:rsidDel="00260F33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3038" w:type="dxa"/>
            <w:gridSpan w:val="6"/>
          </w:tcPr>
          <w:p w14:paraId="15B34C0D" w14:textId="77777777" w:rsidR="00D71DA0" w:rsidRPr="00D71DA0" w:rsidRDefault="00D71DA0" w:rsidP="00D71DA0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Oddziaływanie</w:t>
            </w:r>
          </w:p>
        </w:tc>
      </w:tr>
      <w:tr w:rsidR="00D71DA0" w:rsidRPr="00D71DA0" w14:paraId="76466961" w14:textId="77777777" w:rsidTr="5299995C">
        <w:trPr>
          <w:gridAfter w:val="1"/>
          <w:wAfter w:w="10" w:type="dxa"/>
          <w:trHeight w:val="142"/>
        </w:trPr>
        <w:tc>
          <w:tcPr>
            <w:tcW w:w="2291" w:type="dxa"/>
            <w:gridSpan w:val="3"/>
          </w:tcPr>
          <w:p w14:paraId="39634AE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pacjenci</w:t>
            </w:r>
          </w:p>
        </w:tc>
        <w:tc>
          <w:tcPr>
            <w:tcW w:w="2465" w:type="dxa"/>
            <w:gridSpan w:val="8"/>
          </w:tcPr>
          <w:p w14:paraId="313D236F" w14:textId="0F87A22C" w:rsidR="00D71DA0" w:rsidRPr="00D71DA0" w:rsidRDefault="00145545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145545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117338</w:t>
            </w:r>
            <w:r w:rsidR="00874E98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przeprowadzonych </w:t>
            </w:r>
            <w:r w:rsidR="00D71DA0"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endoprotezoplastyk (dane z 202</w:t>
            </w:r>
            <w:r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>4</w:t>
            </w:r>
            <w:r w:rsidR="00D71DA0" w:rsidRPr="00D71DA0">
              <w:rPr>
                <w:rFonts w:ascii="Times New Roman" w:eastAsia="Calibri" w:hAnsi="Times New Roman" w:cs="Times New Roman"/>
                <w:kern w:val="0"/>
                <w:sz w:val="22"/>
                <w:szCs w:val="22"/>
                <w14:ligatures w14:val="none"/>
              </w:rPr>
              <w:t xml:space="preserve"> r.) </w:t>
            </w:r>
          </w:p>
        </w:tc>
        <w:tc>
          <w:tcPr>
            <w:tcW w:w="3141" w:type="dxa"/>
            <w:gridSpan w:val="12"/>
          </w:tcPr>
          <w:p w14:paraId="1012F187" w14:textId="77777777" w:rsidR="00D71DA0" w:rsidRDefault="00145545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arodowy Fundusz Zdrowia </w:t>
            </w:r>
          </w:p>
          <w:p w14:paraId="118536EA" w14:textId="3F320C39" w:rsidR="004B6FD8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(NFZ) </w:t>
            </w:r>
          </w:p>
        </w:tc>
        <w:tc>
          <w:tcPr>
            <w:tcW w:w="3038" w:type="dxa"/>
            <w:gridSpan w:val="6"/>
          </w:tcPr>
          <w:p w14:paraId="3E985D77" w14:textId="7BDF377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przez uzyskanie danych o jakości oraz skuteczności stosowanych technologii medycznych i w następstwie dzięki eliminowaniu najgorszych rozwiązań i promowaniu lepszych zostanie podniesiona jakość endoprotezoplastyki</w:t>
            </w:r>
          </w:p>
        </w:tc>
      </w:tr>
      <w:tr w:rsidR="00D71DA0" w:rsidRPr="00D71DA0" w14:paraId="04FED258" w14:textId="77777777" w:rsidTr="5299995C">
        <w:trPr>
          <w:gridAfter w:val="1"/>
          <w:wAfter w:w="10" w:type="dxa"/>
          <w:trHeight w:val="142"/>
        </w:trPr>
        <w:tc>
          <w:tcPr>
            <w:tcW w:w="2291" w:type="dxa"/>
            <w:gridSpan w:val="3"/>
          </w:tcPr>
          <w:p w14:paraId="0645B59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podmioty zobowiązane do przekazywania danych</w:t>
            </w:r>
          </w:p>
        </w:tc>
        <w:tc>
          <w:tcPr>
            <w:tcW w:w="2465" w:type="dxa"/>
            <w:gridSpan w:val="8"/>
          </w:tcPr>
          <w:p w14:paraId="3B530A9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Co najmniej 300</w:t>
            </w:r>
          </w:p>
        </w:tc>
        <w:tc>
          <w:tcPr>
            <w:tcW w:w="3141" w:type="dxa"/>
            <w:gridSpan w:val="12"/>
          </w:tcPr>
          <w:p w14:paraId="7BC9FBF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NFZ</w:t>
            </w:r>
          </w:p>
        </w:tc>
        <w:tc>
          <w:tcPr>
            <w:tcW w:w="3038" w:type="dxa"/>
            <w:gridSpan w:val="6"/>
          </w:tcPr>
          <w:p w14:paraId="0ED382DB" w14:textId="0526D70A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podmioty będą musiały przekazywać informacje.</w:t>
            </w:r>
          </w:p>
          <w:p w14:paraId="634FBC7C" w14:textId="3E145839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Możliwa stymulacja konkurencji między ośrodkami zajmującymi się leczeniem</w:t>
            </w:r>
          </w:p>
        </w:tc>
      </w:tr>
      <w:tr w:rsidR="00D71DA0" w:rsidRPr="00D71DA0" w14:paraId="3CBF7AE0" w14:textId="77777777" w:rsidTr="5299995C">
        <w:trPr>
          <w:gridAfter w:val="1"/>
          <w:wAfter w:w="10" w:type="dxa"/>
          <w:trHeight w:val="142"/>
        </w:trPr>
        <w:tc>
          <w:tcPr>
            <w:tcW w:w="2291" w:type="dxa"/>
            <w:gridSpan w:val="3"/>
          </w:tcPr>
          <w:p w14:paraId="3ED81FA8" w14:textId="0F6595A6" w:rsidR="00D71DA0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administracja finansowa związana z ochroną zdrowia – Ministerstwo Zdrowia, NFZ, Agencja Oceny Technologii Medycznych i Taryfikacji (</w:t>
            </w:r>
            <w:proofErr w:type="spellStart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AOTMiT</w:t>
            </w:r>
            <w:proofErr w:type="spellEnd"/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), Centrum Monitorowania Jakości w Ochronie Zdrowia, świadczeniodawcy wykonujące świadczenia endoprotezoplastyki</w:t>
            </w:r>
          </w:p>
        </w:tc>
        <w:tc>
          <w:tcPr>
            <w:tcW w:w="2465" w:type="dxa"/>
            <w:gridSpan w:val="8"/>
          </w:tcPr>
          <w:p w14:paraId="044357E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około 318</w:t>
            </w:r>
          </w:p>
        </w:tc>
        <w:tc>
          <w:tcPr>
            <w:tcW w:w="3141" w:type="dxa"/>
            <w:gridSpan w:val="12"/>
          </w:tcPr>
          <w:p w14:paraId="268F498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NFZ</w:t>
            </w:r>
          </w:p>
        </w:tc>
        <w:tc>
          <w:tcPr>
            <w:tcW w:w="3038" w:type="dxa"/>
            <w:gridSpan w:val="6"/>
          </w:tcPr>
          <w:p w14:paraId="6203898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lepsze zarządzanie publicznymi funduszami, biorące pod uwagę jakość oraz skuteczność stosowanych technologii medycznych</w:t>
            </w:r>
          </w:p>
        </w:tc>
      </w:tr>
      <w:tr w:rsidR="00D71DA0" w:rsidRPr="00D71DA0" w14:paraId="712BFBF5" w14:textId="77777777" w:rsidTr="5299995C">
        <w:trPr>
          <w:gridAfter w:val="1"/>
          <w:wAfter w:w="10" w:type="dxa"/>
          <w:trHeight w:val="302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18D9A8C3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Informacje na temat zakresu, czasu trwania i podsumowanie wyników konsultacji</w:t>
            </w:r>
          </w:p>
        </w:tc>
      </w:tr>
      <w:tr w:rsidR="00D71DA0" w:rsidRPr="00D71DA0" w14:paraId="67AD74AD" w14:textId="77777777" w:rsidTr="5299995C">
        <w:trPr>
          <w:gridAfter w:val="1"/>
          <w:wAfter w:w="10" w:type="dxa"/>
          <w:trHeight w:val="342"/>
        </w:trPr>
        <w:tc>
          <w:tcPr>
            <w:tcW w:w="10935" w:type="dxa"/>
            <w:gridSpan w:val="29"/>
            <w:shd w:val="clear" w:color="auto" w:fill="FFFFFF" w:themeFill="background1"/>
          </w:tcPr>
          <w:p w14:paraId="0BE95B63" w14:textId="77777777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Projekt nie był przedmiotem </w:t>
            </w:r>
            <w:proofErr w:type="spellStart"/>
            <w:r w:rsidRPr="00D71DA0"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pl-PL"/>
                <w14:ligatures w14:val="none"/>
              </w:rPr>
              <w:t>pre</w:t>
            </w:r>
            <w:proofErr w:type="spellEnd"/>
            <w:r w:rsidRPr="00D71DA0"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2"/>
                <w:lang w:eastAsia="pl-PL"/>
                <w14:ligatures w14:val="none"/>
              </w:rPr>
              <w:t>-konsultacji.</w:t>
            </w:r>
          </w:p>
          <w:p w14:paraId="1263A901" w14:textId="019639AE" w:rsidR="004B6FD8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Projekt rozporządzenia zosta</w:t>
            </w:r>
            <w:r w:rsidR="00AD5FD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ł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skierowany w ramach konsultacji publicznych i opiniowania, z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21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-dniowym terminem na zgłaszanie uwag, do:</w:t>
            </w:r>
          </w:p>
          <w:p w14:paraId="14573C2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Naczelnej Rady Lekarskiej;</w:t>
            </w:r>
          </w:p>
          <w:p w14:paraId="71AB146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Naczelnej Rady Pielęgniarek i Położnych;</w:t>
            </w:r>
          </w:p>
          <w:p w14:paraId="6483234D" w14:textId="77777777" w:rsidR="00AD5FD2" w:rsidRPr="00D71DA0" w:rsidRDefault="00AD5FD2" w:rsidP="00AD5FD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Naczelnej Rady Aptekarskiej;</w:t>
            </w:r>
          </w:p>
          <w:p w14:paraId="4B3BBA9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Krajowej Rady Diagnostów Laboratoryjnych;</w:t>
            </w:r>
          </w:p>
          <w:p w14:paraId="4D73269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Krajowej Rady Fizjoterapeutów;</w:t>
            </w:r>
          </w:p>
          <w:p w14:paraId="559BB3D0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Krajowej Rady Rato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ników Medycznych;</w:t>
            </w:r>
          </w:p>
          <w:p w14:paraId="397B25E2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Związku Zawodowego Lekarzy;</w:t>
            </w:r>
          </w:p>
          <w:p w14:paraId="4469342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Związku Zawodowego Pielęgniarek i Położnych;</w:t>
            </w:r>
          </w:p>
          <w:p w14:paraId="1303A3D4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Ogólnopolskiego Związku Zawodowego Położnych; </w:t>
            </w:r>
          </w:p>
          <w:p w14:paraId="0DB0AAB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Kolegium Pielęgniarek i Położnych Rodzinnych w Polsce; </w:t>
            </w:r>
          </w:p>
          <w:p w14:paraId="4D914EB9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Kolegium Lekarzy Rodzinnych;</w:t>
            </w:r>
          </w:p>
          <w:p w14:paraId="5A85E3CD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Stowarzyszenia Szpitali Prywatnych;</w:t>
            </w:r>
          </w:p>
          <w:p w14:paraId="5D810C1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Stowarzyszenia Dyrektorów Szpitali Klinicznych;</w:t>
            </w:r>
          </w:p>
          <w:p w14:paraId="3AB96EF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Stowarzyszenia Menadżerów Opieki Zdrowotnej STOMOZ;</w:t>
            </w:r>
          </w:p>
          <w:p w14:paraId="76E23AA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Zrzeszenia Szpitali Akredytowanych;</w:t>
            </w:r>
          </w:p>
          <w:p w14:paraId="5FF081AA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Izby Lecznictwa Polskiego;</w:t>
            </w:r>
          </w:p>
          <w:p w14:paraId="28AB39BD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Polskiej Unii Szpitali Klinicznych;</w:t>
            </w:r>
          </w:p>
          <w:p w14:paraId="4BD2DF7A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Polskiej Federacji Pracodawców Ochrony Zdrowia;</w:t>
            </w:r>
          </w:p>
          <w:p w14:paraId="73D420A9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Forum Związków Zawodowych;</w:t>
            </w:r>
          </w:p>
          <w:p w14:paraId="2BF5EF54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Federacji Związków Zawodowych Pracowników Ochrony Zdrowia;</w:t>
            </w:r>
          </w:p>
          <w:p w14:paraId="14EB2DC7" w14:textId="2E35804E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NSZZ „Solidarność - 80</w:t>
            </w:r>
            <w:r w:rsidR="0074549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”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; </w:t>
            </w:r>
          </w:p>
          <w:p w14:paraId="4A697D22" w14:textId="77777777" w:rsidR="00AD5FD2" w:rsidRPr="00D71DA0" w:rsidRDefault="00AD5FD2" w:rsidP="00AD5FD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NSZZ „Solidarność”;</w:t>
            </w:r>
          </w:p>
          <w:p w14:paraId="1D47F0FB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lastRenderedPageBreak/>
              <w:t>Ogólnopolskiej Konfederacji Związków Zawodowych Pracowników Ochrony Zdrowia;</w:t>
            </w:r>
          </w:p>
          <w:p w14:paraId="6BF47DCF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Porozumienia Związków Zawodowych;</w:t>
            </w:r>
          </w:p>
          <w:p w14:paraId="086D9EB9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Federacji Związków Pracodawców Ochrony Zdrowia „Porozumienie Zielonogórskie”; </w:t>
            </w:r>
          </w:p>
          <w:p w14:paraId="706EDF31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Federacji Przedsiębiorców Polskich;</w:t>
            </w:r>
          </w:p>
          <w:p w14:paraId="68755FA6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Ogólnopolskiego Związku Pracodawców Samodzielnych Publicznych Szpitali Klinicznych; </w:t>
            </w:r>
          </w:p>
          <w:p w14:paraId="79E33F1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Ogólnopolskiego Stowarzyszenia Szpitali Prywatnych;</w:t>
            </w:r>
          </w:p>
          <w:p w14:paraId="1DF842C1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Związku Rzemiosła Polskiego;</w:t>
            </w:r>
          </w:p>
          <w:p w14:paraId="5825A11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Konfederacji „Lewiatan”; </w:t>
            </w:r>
          </w:p>
          <w:p w14:paraId="36A17A98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Związku Pracodawców Business Centre Club; </w:t>
            </w:r>
          </w:p>
          <w:p w14:paraId="6BE8FC7F" w14:textId="77777777" w:rsidR="004B6FD8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Związku Przedsiębiorców i Pracodawców; </w:t>
            </w:r>
          </w:p>
          <w:p w14:paraId="642B87D3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Polskiego Towarzystwa Gospodarczego;</w:t>
            </w:r>
          </w:p>
          <w:p w14:paraId="750694DF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Polskiej Federacji Pracodawców Ochrony Zdrowia;</w:t>
            </w:r>
          </w:p>
          <w:p w14:paraId="188A2C72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Rady Organizacji Pacjentów przy ministrze właściwym do spraw zdrowia; </w:t>
            </w:r>
          </w:p>
          <w:p w14:paraId="07D7C79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Konferencji Rektorów Akademickich Uczelni Medycznych;</w:t>
            </w:r>
          </w:p>
          <w:p w14:paraId="7C10ABD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Instytutu Praw Pacjenta i Edukacji Zdrowotnej;</w:t>
            </w:r>
          </w:p>
          <w:p w14:paraId="269D5BF5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Polskiego Towarzystwa Prawa Medycznego;</w:t>
            </w:r>
          </w:p>
          <w:p w14:paraId="7DDD7B6D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Pracodawców Rzeczypospolitej Polskiej;</w:t>
            </w:r>
          </w:p>
          <w:p w14:paraId="34D4F1FE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Komisji Wspólnej Rządu i Samorządu Terytorialnego;</w:t>
            </w:r>
          </w:p>
          <w:p w14:paraId="68547E9A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Rady Dialogu Społecznego;</w:t>
            </w:r>
          </w:p>
          <w:p w14:paraId="0C89D84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Prezesa Urzędu Ochrony Konkurencji i Konsumentów;</w:t>
            </w:r>
          </w:p>
          <w:p w14:paraId="1F3AD8B6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Prezesa Urzędu Ochrony Danych Osobowych;</w:t>
            </w:r>
          </w:p>
          <w:p w14:paraId="2F988B72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Prezesa Narodowego Funduszu Zdrowia;</w:t>
            </w:r>
          </w:p>
          <w:p w14:paraId="0A2A594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Agencji Oceny Technologii Medycznych i Taryfikacji;</w:t>
            </w:r>
          </w:p>
          <w:p w14:paraId="15AFA980" w14:textId="77777777" w:rsidR="004B6FD8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Rzecznika Praw Pacjenta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63F1662F" w14:textId="0EE3AF81" w:rsidR="00F55523" w:rsidRPr="00D71DA0" w:rsidRDefault="00F55523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Rzecznika Małych i Średnich Przedsiębiorców;</w:t>
            </w:r>
          </w:p>
          <w:p w14:paraId="0F064987" w14:textId="77777777" w:rsidR="004B6FD8" w:rsidRPr="00D71DA0" w:rsidRDefault="004B6FD8" w:rsidP="004B6F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Konsultantów krajowych w wybranych dziedzinach medycyny:</w:t>
            </w:r>
          </w:p>
          <w:p w14:paraId="7F3F7217" w14:textId="0D152E19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A4764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a) </w:t>
            </w:r>
            <w:r w:rsidR="004B6FD8" w:rsidRPr="00DC0D3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>d</w:t>
            </w:r>
            <w:r w:rsidRPr="00DC0D3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>r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>.</w:t>
            </w:r>
            <w:r w:rsidR="004B6FD8" w:rsidRPr="00DC0D37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 hab. n. med.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Jarosława Czubaka –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ortopedi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 traumatolo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gia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narządu ruchu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</w:t>
            </w:r>
          </w:p>
          <w:p w14:paraId="4008E972" w14:textId="3AA3B66A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 b)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dr.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hab. Jerzego Sieńko </w:t>
            </w:r>
            <w:r w:rsidR="00080895" w:rsidRPr="00080895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–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chirurgia ogólna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,</w:t>
            </w:r>
          </w:p>
          <w:p w14:paraId="30F09574" w14:textId="3599E54A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 </w:t>
            </w:r>
            <w:r w:rsidRPr="00A4764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c) </w:t>
            </w:r>
            <w:r w:rsidR="004B6FD8" w:rsidRPr="00A4764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:lang w:val="es-ES"/>
                <w14:ligatures w14:val="none"/>
              </w:rPr>
              <w:t xml:space="preserve">Prof. dr hab. n. med.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Wojciecha </w:t>
            </w:r>
            <w:proofErr w:type="spellStart"/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Zegarskiego</w:t>
            </w:r>
            <w:proofErr w:type="spellEnd"/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– 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chirurgia onkologiczna;</w:t>
            </w:r>
          </w:p>
          <w:p w14:paraId="18A25138" w14:textId="0B6415CB" w:rsidR="004B6FD8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4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9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onsultant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krajow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w wybranych dziedzinach mających zastosowanie w ochronie zdrowia (inżyniera medyczna)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:</w:t>
            </w:r>
          </w:p>
          <w:p w14:paraId="26128F29" w14:textId="7D0203D8" w:rsidR="004B6FD8" w:rsidRPr="00D71DA0" w:rsidRDefault="00AA367C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   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Prof. </w:t>
            </w:r>
            <w:r w:rsidR="00EE390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dr 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hab. inż. Ewy Zalewskiej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;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310AEC1D" w14:textId="515A7FDC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50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Polskie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Stowarzyszeni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Dyrektorów Szpitali;</w:t>
            </w:r>
          </w:p>
          <w:p w14:paraId="0B10F4AC" w14:textId="17E807A5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1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Pracodawcy Medycyny Prywatnej;</w:t>
            </w:r>
          </w:p>
          <w:p w14:paraId="24871FAF" w14:textId="3B7A0DEC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2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Ogólnopolski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Związ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ku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Pracodawców Szpitali Powiatowych;</w:t>
            </w:r>
          </w:p>
          <w:p w14:paraId="6ED75510" w14:textId="5474ED6D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3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Ogólnopolski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Związ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ku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Pracodawców Podmiotów Leczniczych;</w:t>
            </w:r>
          </w:p>
          <w:p w14:paraId="55E73482" w14:textId="24C54E82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4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Porozumieni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Pracodawców Ochrony Zdrowia;</w:t>
            </w:r>
          </w:p>
          <w:p w14:paraId="21D63612" w14:textId="406197E2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Polsk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iej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Federacj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i 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Szpitali;</w:t>
            </w:r>
          </w:p>
          <w:p w14:paraId="31E51806" w14:textId="7B0C9DF4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Federacj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Pacjentów Polskich;</w:t>
            </w:r>
          </w:p>
          <w:p w14:paraId="3CD75C98" w14:textId="2E148637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7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Fundacj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My Pacjenci;</w:t>
            </w:r>
          </w:p>
          <w:p w14:paraId="2D0818D3" w14:textId="646DA719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8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Wojskow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Instytut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u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Medyczn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2AAD15D2" w14:textId="5DB04FFC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9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</w:t>
            </w:r>
            <w:r w:rsidR="00AA367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Prezes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Urzędu Rejestracji Produktów Leczniczych, Wyrobów Medycznych i Produktów Biobójczych</w:t>
            </w:r>
            <w:r w:rsidR="00AA367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4D2AD17C" w14:textId="4FF95196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60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</w:t>
            </w:r>
            <w:r w:rsidR="00AA367C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Konferencj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Rektorów Akademickich Uczelni Medycznych;</w:t>
            </w:r>
          </w:p>
          <w:p w14:paraId="7EB364B9" w14:textId="2ABBB592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1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Główn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Inspektor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Farmaceutyczn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;</w:t>
            </w:r>
          </w:p>
          <w:p w14:paraId="432C15E0" w14:textId="7E315FDA" w:rsidR="004B6FD8" w:rsidRPr="00C72A21" w:rsidRDefault="00F55523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6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2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 Główn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Inspektor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Sanitarn</w:t>
            </w:r>
            <w:r w:rsid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ego</w:t>
            </w:r>
            <w:r w:rsidR="004B6FD8" w:rsidRPr="00C72A2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.</w:t>
            </w:r>
          </w:p>
          <w:p w14:paraId="165AF7FA" w14:textId="36D5F073" w:rsidR="002403A4" w:rsidRDefault="002403A4" w:rsidP="004F6E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</w:p>
          <w:p w14:paraId="472032D0" w14:textId="58F4955F" w:rsidR="004D6548" w:rsidRDefault="004D6548" w:rsidP="004F6E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Skrócenie terminu konsultacji publicznych i opiniowania jest uzasadnione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deregulacyjnym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charakterem projektowanych przepisów oraz </w:t>
            </w:r>
            <w:r w:rsidR="002403A4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korzyściami wynikającymi z wprowadzenia rozwiązań objętych projektem rozporządzenia. </w:t>
            </w:r>
          </w:p>
          <w:p w14:paraId="28F3501C" w14:textId="473728C7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Zgodnie z art. 5 ustawy z dnia 7 lipca 2005 r. o działalności lobbingowej w procesie stanowienia prawa (Dz. U. z 2025 r. poz. 677) projekt rozporządzenia 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zosta</w:t>
            </w:r>
            <w:r w:rsidR="0074549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ł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zamieszczony w Biuletynie Informacji Publicznej na stronie podmiotowej Ministerstwa Zdrowia.</w:t>
            </w:r>
          </w:p>
          <w:p w14:paraId="195508E8" w14:textId="6A0AF22F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Projekt rozporządzenia 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zosta</w:t>
            </w:r>
            <w:r w:rsidR="0074549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ł</w:t>
            </w:r>
            <w:r w:rsidR="00745498"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również udostępniony w Biuletynie Informacji Publicznej na stronie podmiotowej Rządowego Centrum Legislacji, w serwisie Rządowy Proces Legislacyjny, zgodnie z § 52 ust. 1 uchwały nr 190 Rady Ministrów z dnia 29 października 2013 r. – Regulamin pracy Rady Ministrów (M.</w:t>
            </w:r>
            <w:r w:rsidR="00F506CF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P. z 2024 r. poz. 806</w:t>
            </w:r>
            <w:r w:rsidR="00C63B7A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, z </w:t>
            </w:r>
            <w:proofErr w:type="spellStart"/>
            <w:r w:rsidR="00C63B7A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późn</w:t>
            </w:r>
            <w:proofErr w:type="spellEnd"/>
            <w:r w:rsidR="00C63B7A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. zm.</w:t>
            </w: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).</w:t>
            </w:r>
          </w:p>
          <w:p w14:paraId="1E92254B" w14:textId="4BF259EB" w:rsidR="00D71DA0" w:rsidRPr="00D71DA0" w:rsidRDefault="004B6FD8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Wyniki konsultacji publicznych i opiniowania zostaną przedstawione w raporcie z konsultacji publicznych i opiniowania, który zostanie załączony do OSR.</w:t>
            </w:r>
          </w:p>
        </w:tc>
      </w:tr>
      <w:tr w:rsidR="00D71DA0" w:rsidRPr="00D71DA0" w14:paraId="3FB98277" w14:textId="77777777" w:rsidTr="5299995C">
        <w:trPr>
          <w:gridAfter w:val="1"/>
          <w:wAfter w:w="10" w:type="dxa"/>
          <w:trHeight w:val="363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0462072A" w14:textId="77777777" w:rsidR="00D71DA0" w:rsidRPr="00D71DA0" w:rsidRDefault="7F1451D4" w:rsidP="0BE9357E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BE9357E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 xml:space="preserve"> </w:t>
            </w:r>
            <w:r>
              <w:t>￼</w:t>
            </w:r>
          </w:p>
        </w:tc>
      </w:tr>
      <w:tr w:rsidR="00D71DA0" w:rsidRPr="00D71DA0" w14:paraId="1E71689B" w14:textId="77777777" w:rsidTr="5299995C">
        <w:trPr>
          <w:gridAfter w:val="1"/>
          <w:wAfter w:w="10" w:type="dxa"/>
          <w:trHeight w:val="142"/>
        </w:trPr>
        <w:tc>
          <w:tcPr>
            <w:tcW w:w="2756" w:type="dxa"/>
            <w:gridSpan w:val="4"/>
            <w:vMerge w:val="restart"/>
            <w:shd w:val="clear" w:color="auto" w:fill="FFFFFF" w:themeFill="background1"/>
          </w:tcPr>
          <w:p w14:paraId="4ACEEF83" w14:textId="77777777" w:rsidR="00D71DA0" w:rsidRPr="00D71DA0" w:rsidRDefault="00D71DA0" w:rsidP="00D71DA0">
            <w:pPr>
              <w:spacing w:before="40" w:after="40" w:line="276" w:lineRule="auto"/>
              <w:rPr>
                <w:rFonts w:ascii="Times New Roman" w:eastAsia="Calibri" w:hAnsi="Times New Roman" w:cs="Times New Roman"/>
                <w:i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(ceny stałe z 2025 r.)</w:t>
            </w:r>
          </w:p>
        </w:tc>
        <w:tc>
          <w:tcPr>
            <w:tcW w:w="8179" w:type="dxa"/>
            <w:gridSpan w:val="25"/>
            <w:shd w:val="clear" w:color="auto" w:fill="FFFFFF" w:themeFill="background1"/>
          </w:tcPr>
          <w:p w14:paraId="7FC75E16" w14:textId="77777777" w:rsidR="00D71DA0" w:rsidRPr="00D71DA0" w:rsidRDefault="00D71DA0" w:rsidP="00D71DA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Skutki w okresie 10 lat od wejścia w życie zmian [mln zł]</w:t>
            </w:r>
          </w:p>
        </w:tc>
      </w:tr>
      <w:tr w:rsidR="00D71DA0" w:rsidRPr="00D71DA0" w14:paraId="5373CDA2" w14:textId="77777777" w:rsidTr="5299995C">
        <w:trPr>
          <w:gridAfter w:val="1"/>
          <w:wAfter w:w="10" w:type="dxa"/>
          <w:trHeight w:val="142"/>
        </w:trPr>
        <w:tc>
          <w:tcPr>
            <w:tcW w:w="2756" w:type="dxa"/>
            <w:gridSpan w:val="4"/>
            <w:vMerge/>
          </w:tcPr>
          <w:p w14:paraId="7FC6CA76" w14:textId="77777777" w:rsidR="00D71DA0" w:rsidRPr="00D71DA0" w:rsidRDefault="00D71DA0" w:rsidP="00D71DA0">
            <w:pPr>
              <w:spacing w:before="40" w:after="40" w:line="240" w:lineRule="auto"/>
              <w:rPr>
                <w:rFonts w:ascii="Times New Roman" w:eastAsia="Calibri" w:hAnsi="Times New Roman" w:cs="Times New Roman"/>
                <w:i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08520E00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EEFD6AA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620B083B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5C479C6B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2489EAC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570" w:type="dxa"/>
            <w:shd w:val="clear" w:color="auto" w:fill="FFFFFF" w:themeFill="background1"/>
          </w:tcPr>
          <w:p w14:paraId="76FBF23D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3A89127C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3796F07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494FC9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2AC3A5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570" w:type="dxa"/>
            <w:shd w:val="clear" w:color="auto" w:fill="FFFFFF" w:themeFill="background1"/>
          </w:tcPr>
          <w:p w14:paraId="3447595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1594" w:type="dxa"/>
            <w:gridSpan w:val="2"/>
            <w:shd w:val="clear" w:color="auto" w:fill="FFFFFF" w:themeFill="background1"/>
          </w:tcPr>
          <w:p w14:paraId="303A9BB2" w14:textId="77777777" w:rsidR="00D71DA0" w:rsidRPr="00D71DA0" w:rsidRDefault="00D71DA0" w:rsidP="00D71DA0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Łącznie (0-10)</w:t>
            </w:r>
          </w:p>
        </w:tc>
      </w:tr>
      <w:tr w:rsidR="00D71DA0" w:rsidRPr="00D71DA0" w14:paraId="066E6D65" w14:textId="77777777" w:rsidTr="5299995C">
        <w:trPr>
          <w:trHeight w:val="321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1CA4B51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1"/>
                <w:szCs w:val="21"/>
                <w14:ligatures w14:val="none"/>
              </w:rPr>
              <w:t>Dochody ogółem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75C4FDA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14349D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2D742E5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5D22C82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A644B8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4B1E34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0768792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4DFC91A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D6C8E4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89A449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5146C4D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22FAB13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40AB9523" w14:textId="77777777" w:rsidTr="5299995C">
        <w:trPr>
          <w:trHeight w:val="321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5567754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lastRenderedPageBreak/>
              <w:t>budżet państwa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7D0C4BA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BC07FA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02EEB02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9E839E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D034C0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0288C75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5453445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972B11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00112F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440F2A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6AAAE77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397E631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C8A3104" w14:textId="77777777" w:rsidTr="5299995C">
        <w:trPr>
          <w:trHeight w:val="344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118533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JST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3E0C591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AC3D48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45BDFA5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2439C2A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6EC915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4C8FFA2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4A7BFA8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1465FB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3D2A71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3607B9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771203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09EE0D8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182E66E" w14:textId="77777777" w:rsidTr="5299995C">
        <w:trPr>
          <w:trHeight w:val="344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C871DA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568A4AA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25F4D4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6D24576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26394C7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F36CFB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74CC581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5E5BEFF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0812154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8C6F4E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3ADE68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0172CEF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2C7AE3D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6866AE3E" w14:textId="77777777" w:rsidTr="5299995C">
        <w:trPr>
          <w:trHeight w:val="344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15CEC19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pozostałe jednostki (oddzielnie)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37E5CC2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5D6FA4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234B0E3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16C365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F6D2E1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A8F53E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0792631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5F1311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0F52C3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8AE83F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A0A4F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18935D1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2E3E313" w14:textId="77777777" w:rsidTr="5299995C">
        <w:trPr>
          <w:trHeight w:val="330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4637628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1"/>
                <w:szCs w:val="21"/>
                <w14:ligatures w14:val="none"/>
              </w:rPr>
              <w:t>Wydatki ogółem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55CBC55C" w14:textId="46D10739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55F3EFB" w14:textId="6E2E1E6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31FFCD85" w14:textId="37516BA9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3D7C32D8" w14:textId="3EDB0A38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0B765E7" w14:textId="4670895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76CD3C29" w14:textId="39328DA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3A89EAA7" w14:textId="018B0620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57FBE8F3" w14:textId="173FC0F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6249BC6" w14:textId="4BF784D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578F18A" w14:textId="4C565405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BD729A7" w14:textId="1CC3C7E5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4865C282" w14:textId="66969CED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145A9402" w14:textId="77777777" w:rsidTr="5299995C">
        <w:trPr>
          <w:trHeight w:val="330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7B8B0E5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budżet państwa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20B11F0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6004C2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14762A4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440521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299F89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67E2E0E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05DB815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50FD117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794B51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EF2F9A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0A61845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5A1FE32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0FB8345F" w14:textId="77777777" w:rsidTr="5299995C">
        <w:trPr>
          <w:trHeight w:val="351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71ECCAB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JST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2429E55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64EFA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4EE3D22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501042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308D63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650E962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7BA258E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E38E1B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7372C6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AB025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029663D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5E80D6A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6E2E6E47" w14:textId="77777777" w:rsidTr="5299995C">
        <w:trPr>
          <w:trHeight w:val="351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8BDC74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1391B892" w14:textId="2E2C65B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862761B" w14:textId="64560CE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5459C512" w14:textId="3122F098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12EA2686" w14:textId="0D66AD7C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BD49422" w14:textId="65914268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6543B1B1" w14:textId="7A7EAADF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7104CF3B" w14:textId="7DC8F41B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608EF4E8" w14:textId="17AC165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7564677" w14:textId="5482C6ED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3DA296E" w14:textId="05A7059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37457E0" w14:textId="14C1AE08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715BEA0A" w14:textId="2DC0237F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328ED465" w14:textId="77777777" w:rsidTr="5299995C">
        <w:trPr>
          <w:trHeight w:val="351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0649825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pozostałe jednostki (oddzielnie)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4D19464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DA8E38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332CDF6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5B83187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F4F0B0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2666543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3EBACCC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F4ECA9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CBF6DC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6E26FF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77EE0AF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022723A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2F996684" w14:textId="77777777" w:rsidTr="5299995C">
        <w:trPr>
          <w:trHeight w:val="360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C76F8A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1"/>
                <w:szCs w:val="21"/>
                <w14:ligatures w14:val="none"/>
              </w:rPr>
              <w:t>Saldo ogółem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6B2E77A8" w14:textId="4CA7F780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0B1696E" w14:textId="625C9E7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61269579" w14:textId="1B5CB3E1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20412E2F" w14:textId="0A282409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F9571C6" w14:textId="481CDB73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233ABBAF" w14:textId="24774E95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1F3EDAB4" w14:textId="5DC285B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4958F2B9" w14:textId="47FBC23A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74647A0C" w14:textId="681ECA1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DAB0C34" w14:textId="20ECF49D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6000BD2" w14:textId="54180DB1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3AD24477" w14:textId="11022735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33A422B7" w14:textId="77777777" w:rsidTr="5299995C">
        <w:trPr>
          <w:trHeight w:val="360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AFEB5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budżet państwa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087CA6F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11EA44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7F9121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7DB9EA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060DC1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7EE8EE6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490F6D5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6FE18C5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AD3117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E5122D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9B2AFE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77131F4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26ED8957" w14:textId="77777777" w:rsidTr="5299995C">
        <w:trPr>
          <w:trHeight w:val="357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3AD48F3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JST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0787D8F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19AA83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2532FEF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306C5F8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8990DC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2B1693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5B1D1DE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0711A52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AF9886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61F2E34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E072C4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3439C2A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5406CFD5" w14:textId="77777777" w:rsidTr="5299995C">
        <w:trPr>
          <w:trHeight w:val="357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01BA8E1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6CE91C9B" w14:textId="644118EF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5FB5EDF" w14:textId="06774A4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57736574" w14:textId="368B410D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0108082F" w14:textId="12E1024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2C2E9BE9" w14:textId="6DAED6A6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13201343" w14:textId="231FC471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508FB99C" w14:textId="76C5352F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34D063B6" w14:textId="6141F3C2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398E0A98" w14:textId="07784FFB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9393C04" w14:textId="504D09DC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43C03447" w14:textId="77FC97B1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3FA264EE" w14:textId="4DDEBF6B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38CA11EB" w14:textId="77777777" w:rsidTr="5299995C">
        <w:trPr>
          <w:trHeight w:val="357"/>
        </w:trPr>
        <w:tc>
          <w:tcPr>
            <w:tcW w:w="2756" w:type="dxa"/>
            <w:gridSpan w:val="4"/>
            <w:shd w:val="clear" w:color="auto" w:fill="FFFFFF" w:themeFill="background1"/>
            <w:vAlign w:val="center"/>
          </w:tcPr>
          <w:p w14:paraId="2460024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pozostałe jednostki (oddzielnie)</w:t>
            </w:r>
          </w:p>
        </w:tc>
        <w:tc>
          <w:tcPr>
            <w:tcW w:w="586" w:type="dxa"/>
            <w:gridSpan w:val="2"/>
            <w:shd w:val="clear" w:color="auto" w:fill="FFFFFF" w:themeFill="background1"/>
          </w:tcPr>
          <w:p w14:paraId="12437CB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4213363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26" w:type="dxa"/>
            <w:gridSpan w:val="2"/>
            <w:shd w:val="clear" w:color="auto" w:fill="FFFFFF" w:themeFill="background1"/>
          </w:tcPr>
          <w:p w14:paraId="7612CFD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69" w:type="dxa"/>
            <w:gridSpan w:val="3"/>
            <w:shd w:val="clear" w:color="auto" w:fill="FFFFFF" w:themeFill="background1"/>
          </w:tcPr>
          <w:p w14:paraId="4ABD37D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5814E66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34D73A4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49" w:type="dxa"/>
            <w:gridSpan w:val="3"/>
            <w:shd w:val="clear" w:color="auto" w:fill="FFFFFF" w:themeFill="background1"/>
          </w:tcPr>
          <w:p w14:paraId="3FE3BF9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635" w:type="dxa"/>
            <w:gridSpan w:val="3"/>
            <w:shd w:val="clear" w:color="auto" w:fill="FFFFFF" w:themeFill="background1"/>
          </w:tcPr>
          <w:p w14:paraId="1F39B8C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0471A71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gridSpan w:val="2"/>
            <w:shd w:val="clear" w:color="auto" w:fill="FFFFFF" w:themeFill="background1"/>
          </w:tcPr>
          <w:p w14:paraId="17241B8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570" w:type="dxa"/>
            <w:shd w:val="clear" w:color="auto" w:fill="FFFFFF" w:themeFill="background1"/>
          </w:tcPr>
          <w:p w14:paraId="5F412C1C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1604" w:type="dxa"/>
            <w:gridSpan w:val="3"/>
            <w:shd w:val="clear" w:color="auto" w:fill="FFFFFF" w:themeFill="background1"/>
          </w:tcPr>
          <w:p w14:paraId="62462A1A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7A9CC6D0" w14:textId="77777777" w:rsidTr="5299995C">
        <w:trPr>
          <w:gridAfter w:val="1"/>
          <w:wAfter w:w="10" w:type="dxa"/>
          <w:trHeight w:val="348"/>
        </w:trPr>
        <w:tc>
          <w:tcPr>
            <w:tcW w:w="1866" w:type="dxa"/>
            <w:gridSpan w:val="2"/>
            <w:shd w:val="clear" w:color="auto" w:fill="FFFFFF" w:themeFill="background1"/>
            <w:vAlign w:val="center"/>
          </w:tcPr>
          <w:p w14:paraId="3B1E427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Źródła finansowania </w:t>
            </w:r>
          </w:p>
        </w:tc>
        <w:tc>
          <w:tcPr>
            <w:tcW w:w="9069" w:type="dxa"/>
            <w:gridSpan w:val="27"/>
            <w:shd w:val="clear" w:color="auto" w:fill="FFFFFF" w:themeFill="background1"/>
            <w:vAlign w:val="center"/>
          </w:tcPr>
          <w:p w14:paraId="12E947EC" w14:textId="77777777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  <w:p w14:paraId="1A78D70B" w14:textId="77777777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NFZ</w:t>
            </w:r>
          </w:p>
          <w:p w14:paraId="28DE7E37" w14:textId="77777777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1F84184C" w14:textId="77777777" w:rsidTr="5299995C">
        <w:trPr>
          <w:gridAfter w:val="1"/>
          <w:wAfter w:w="10" w:type="dxa"/>
          <w:trHeight w:val="1195"/>
        </w:trPr>
        <w:tc>
          <w:tcPr>
            <w:tcW w:w="1866" w:type="dxa"/>
            <w:gridSpan w:val="2"/>
            <w:shd w:val="clear" w:color="auto" w:fill="FFFFFF" w:themeFill="background1"/>
          </w:tcPr>
          <w:p w14:paraId="6B841AA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5299995C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9069" w:type="dxa"/>
            <w:gridSpan w:val="27"/>
            <w:shd w:val="clear" w:color="auto" w:fill="FFFFFF" w:themeFill="background1"/>
          </w:tcPr>
          <w:p w14:paraId="10A4B536" w14:textId="56C75998" w:rsidR="00D71DA0" w:rsidRPr="00D71DA0" w:rsidRDefault="7929826E" w:rsidP="0BE9357E">
            <w:pPr>
              <w:spacing w:after="0" w:line="240" w:lineRule="auto"/>
              <w:jc w:val="both"/>
            </w:pP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Z uwagi na nieprzerwane funkcjonowanie rejestru endoprotezoplastyk od 2019 r. koszty jego funkcjonowania są finansowane ze środków przewidzianych w planie finansowym NFZ na dany rok, w ramach kosztów administracyjnych.</w:t>
            </w:r>
          </w:p>
          <w:p w14:paraId="602A1007" w14:textId="43CB3DB7" w:rsidR="00D71DA0" w:rsidRPr="00D71DA0" w:rsidRDefault="7929826E" w:rsidP="0BE9357E">
            <w:pPr>
              <w:spacing w:after="0" w:line="240" w:lineRule="auto"/>
              <w:jc w:val="both"/>
            </w:pP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Zwiększone koszty wynikające z dostosowania rejestru będą sfinansowane w ramach kosztów administracyjnych planu finansowego Centrali NFZ na rok 2026 (z pozycji właściwych dla danego rodzaju kosztów, w szczególności D2 – usługi obce), w ramach środków określonych zgodnie w art. 131c ustawy o świadczeniach opieki zdrowotnej finansowanych ze środków publicznych.</w:t>
            </w:r>
          </w:p>
          <w:p w14:paraId="64FDF371" w14:textId="5BAC9D68" w:rsidR="00D71DA0" w:rsidRPr="00D71DA0" w:rsidRDefault="7929826E" w:rsidP="0BE9357E">
            <w:pPr>
              <w:spacing w:after="0" w:line="240" w:lineRule="auto"/>
              <w:jc w:val="both"/>
            </w:pP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Wartość środków na koszty administracyjne ujętych w planie finansowym na rok 2026 umożliwia sfinansowanie zwiększonych kosztów prowadzenia rejestru endoprotezoplastyk wynikających z dostosowania rejestru.</w:t>
            </w:r>
          </w:p>
          <w:p w14:paraId="4928063C" w14:textId="019A9CC1" w:rsidR="00D71DA0" w:rsidRPr="00D71DA0" w:rsidRDefault="7929826E" w:rsidP="0BE935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Projektowane rozporządzenie nie spowoduje dodatkowych skutków finansowych dla budżetu państwa, jednostek samorządu terytorialnego oraz innych jednostek sektora finansów publicznych.</w:t>
            </w:r>
          </w:p>
        </w:tc>
      </w:tr>
      <w:tr w:rsidR="00D71DA0" w:rsidRPr="00D71DA0" w14:paraId="32C04FA1" w14:textId="77777777" w:rsidTr="5299995C">
        <w:trPr>
          <w:gridAfter w:val="1"/>
          <w:wAfter w:w="10" w:type="dxa"/>
          <w:trHeight w:val="345"/>
        </w:trPr>
        <w:tc>
          <w:tcPr>
            <w:tcW w:w="10935" w:type="dxa"/>
            <w:gridSpan w:val="29"/>
            <w:shd w:val="clear" w:color="auto" w:fill="99CCFF"/>
          </w:tcPr>
          <w:p w14:paraId="29A4CFB0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Wpływ na </w:t>
            </w: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D71DA0" w:rsidRPr="00D71DA0" w14:paraId="39B2F8A7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FFFFFF" w:themeFill="background1"/>
          </w:tcPr>
          <w:p w14:paraId="16BBB247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Skutki</w:t>
            </w:r>
          </w:p>
        </w:tc>
      </w:tr>
      <w:tr w:rsidR="00D71DA0" w:rsidRPr="00D71DA0" w14:paraId="664110B1" w14:textId="77777777" w:rsidTr="5299995C">
        <w:trPr>
          <w:gridAfter w:val="1"/>
          <w:wAfter w:w="10" w:type="dxa"/>
          <w:trHeight w:val="142"/>
        </w:trPr>
        <w:tc>
          <w:tcPr>
            <w:tcW w:w="3529" w:type="dxa"/>
            <w:gridSpan w:val="7"/>
            <w:shd w:val="clear" w:color="auto" w:fill="FFFFFF" w:themeFill="background1"/>
          </w:tcPr>
          <w:p w14:paraId="21F9F49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 w:themeFill="background1"/>
          </w:tcPr>
          <w:p w14:paraId="0D29EBA0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0</w:t>
            </w:r>
          </w:p>
        </w:tc>
        <w:tc>
          <w:tcPr>
            <w:tcW w:w="1094" w:type="dxa"/>
            <w:gridSpan w:val="5"/>
            <w:shd w:val="clear" w:color="auto" w:fill="FFFFFF" w:themeFill="background1"/>
          </w:tcPr>
          <w:p w14:paraId="1C4122A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1017" w:type="dxa"/>
            <w:gridSpan w:val="4"/>
            <w:shd w:val="clear" w:color="auto" w:fill="FFFFFF" w:themeFill="background1"/>
          </w:tcPr>
          <w:p w14:paraId="09DA5B9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939" w:type="dxa"/>
            <w:gridSpan w:val="3"/>
            <w:shd w:val="clear" w:color="auto" w:fill="FFFFFF" w:themeFill="background1"/>
          </w:tcPr>
          <w:p w14:paraId="18F8BFA5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1002" w:type="dxa"/>
            <w:gridSpan w:val="4"/>
            <w:shd w:val="clear" w:color="auto" w:fill="FFFFFF" w:themeFill="background1"/>
          </w:tcPr>
          <w:p w14:paraId="19DCE63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995" w:type="dxa"/>
            <w:gridSpan w:val="3"/>
            <w:shd w:val="clear" w:color="auto" w:fill="FFFFFF" w:themeFill="background1"/>
          </w:tcPr>
          <w:p w14:paraId="4A78E4E9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1422" w:type="dxa"/>
            <w:shd w:val="clear" w:color="auto" w:fill="FFFFFF" w:themeFill="background1"/>
          </w:tcPr>
          <w:p w14:paraId="1AF28E1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Łącznie</w:t>
            </w:r>
            <w:r w:rsidRPr="00D71DA0" w:rsidDel="0073273A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i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(0-10)</w:t>
            </w:r>
          </w:p>
        </w:tc>
      </w:tr>
      <w:tr w:rsidR="00D71DA0" w:rsidRPr="00D71DA0" w14:paraId="3A5F64C5" w14:textId="77777777" w:rsidTr="5299995C">
        <w:trPr>
          <w:gridAfter w:val="1"/>
          <w:wAfter w:w="10" w:type="dxa"/>
          <w:trHeight w:val="142"/>
        </w:trPr>
        <w:tc>
          <w:tcPr>
            <w:tcW w:w="1323" w:type="dxa"/>
            <w:vMerge w:val="restart"/>
            <w:shd w:val="clear" w:color="auto" w:fill="FFFFFF" w:themeFill="background1"/>
          </w:tcPr>
          <w:p w14:paraId="692A536E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W ujęciu pieniężnym</w:t>
            </w:r>
          </w:p>
          <w:p w14:paraId="17CF89D7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  <w:t xml:space="preserve">(w mln zł, </w:t>
            </w:r>
          </w:p>
          <w:p w14:paraId="0FE7BFA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1"/>
                <w:szCs w:val="21"/>
                <w14:ligatures w14:val="none"/>
              </w:rPr>
              <w:t>ceny stałe z …… r.)</w:t>
            </w: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48AFDBC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 w:themeFill="background1"/>
          </w:tcPr>
          <w:p w14:paraId="1D9056E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94" w:type="dxa"/>
            <w:gridSpan w:val="5"/>
            <w:shd w:val="clear" w:color="auto" w:fill="FFFFFF" w:themeFill="background1"/>
          </w:tcPr>
          <w:p w14:paraId="45620F44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17" w:type="dxa"/>
            <w:gridSpan w:val="4"/>
            <w:shd w:val="clear" w:color="auto" w:fill="FFFFFF" w:themeFill="background1"/>
          </w:tcPr>
          <w:p w14:paraId="5DF0848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9" w:type="dxa"/>
            <w:gridSpan w:val="3"/>
            <w:shd w:val="clear" w:color="auto" w:fill="FFFFFF" w:themeFill="background1"/>
          </w:tcPr>
          <w:p w14:paraId="6F18632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02" w:type="dxa"/>
            <w:gridSpan w:val="4"/>
            <w:shd w:val="clear" w:color="auto" w:fill="FFFFFF" w:themeFill="background1"/>
          </w:tcPr>
          <w:p w14:paraId="15A035D8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95" w:type="dxa"/>
            <w:gridSpan w:val="3"/>
            <w:shd w:val="clear" w:color="auto" w:fill="FFFFFF" w:themeFill="background1"/>
          </w:tcPr>
          <w:p w14:paraId="3E3E6A5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422" w:type="dxa"/>
            <w:shd w:val="clear" w:color="auto" w:fill="FFFFFF" w:themeFill="background1"/>
          </w:tcPr>
          <w:p w14:paraId="7B81B73C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-</w:t>
            </w:r>
          </w:p>
        </w:tc>
      </w:tr>
      <w:tr w:rsidR="00D71DA0" w:rsidRPr="00D71DA0" w14:paraId="115AD8A8" w14:textId="77777777" w:rsidTr="5299995C">
        <w:trPr>
          <w:gridAfter w:val="1"/>
          <w:wAfter w:w="10" w:type="dxa"/>
          <w:trHeight w:val="142"/>
        </w:trPr>
        <w:tc>
          <w:tcPr>
            <w:tcW w:w="1323" w:type="dxa"/>
            <w:vMerge/>
          </w:tcPr>
          <w:p w14:paraId="78A9A9A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1FDEBF45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 w:themeFill="background1"/>
          </w:tcPr>
          <w:p w14:paraId="3F5C6BB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94" w:type="dxa"/>
            <w:gridSpan w:val="5"/>
            <w:shd w:val="clear" w:color="auto" w:fill="FFFFFF" w:themeFill="background1"/>
          </w:tcPr>
          <w:p w14:paraId="579E4245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17" w:type="dxa"/>
            <w:gridSpan w:val="4"/>
            <w:shd w:val="clear" w:color="auto" w:fill="FFFFFF" w:themeFill="background1"/>
          </w:tcPr>
          <w:p w14:paraId="6D6140A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9" w:type="dxa"/>
            <w:gridSpan w:val="3"/>
            <w:shd w:val="clear" w:color="auto" w:fill="FFFFFF" w:themeFill="background1"/>
          </w:tcPr>
          <w:p w14:paraId="46F9727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02" w:type="dxa"/>
            <w:gridSpan w:val="4"/>
            <w:shd w:val="clear" w:color="auto" w:fill="FFFFFF" w:themeFill="background1"/>
          </w:tcPr>
          <w:p w14:paraId="6AA87952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95" w:type="dxa"/>
            <w:gridSpan w:val="3"/>
            <w:shd w:val="clear" w:color="auto" w:fill="FFFFFF" w:themeFill="background1"/>
          </w:tcPr>
          <w:p w14:paraId="5C432CEF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422" w:type="dxa"/>
            <w:shd w:val="clear" w:color="auto" w:fill="FFFFFF" w:themeFill="background1"/>
          </w:tcPr>
          <w:p w14:paraId="181FA71E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-</w:t>
            </w:r>
          </w:p>
        </w:tc>
      </w:tr>
      <w:tr w:rsidR="00D71DA0" w:rsidRPr="00D71DA0" w14:paraId="217EEFDA" w14:textId="77777777" w:rsidTr="5299995C">
        <w:trPr>
          <w:gridAfter w:val="1"/>
          <w:wAfter w:w="10" w:type="dxa"/>
          <w:trHeight w:val="142"/>
        </w:trPr>
        <w:tc>
          <w:tcPr>
            <w:tcW w:w="1323" w:type="dxa"/>
            <w:vMerge/>
          </w:tcPr>
          <w:p w14:paraId="653665B1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72E82E2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rodzina, obywatele oraz gospodarstwa domowe</w:t>
            </w:r>
          </w:p>
        </w:tc>
        <w:tc>
          <w:tcPr>
            <w:tcW w:w="937" w:type="dxa"/>
            <w:gridSpan w:val="2"/>
            <w:shd w:val="clear" w:color="auto" w:fill="FFFFFF" w:themeFill="background1"/>
          </w:tcPr>
          <w:p w14:paraId="503ED1B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94" w:type="dxa"/>
            <w:gridSpan w:val="5"/>
            <w:shd w:val="clear" w:color="auto" w:fill="FFFFFF" w:themeFill="background1"/>
          </w:tcPr>
          <w:p w14:paraId="14FFA9E7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17" w:type="dxa"/>
            <w:gridSpan w:val="4"/>
            <w:shd w:val="clear" w:color="auto" w:fill="FFFFFF" w:themeFill="background1"/>
          </w:tcPr>
          <w:p w14:paraId="2F25CFA5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39" w:type="dxa"/>
            <w:gridSpan w:val="3"/>
            <w:shd w:val="clear" w:color="auto" w:fill="FFFFFF" w:themeFill="background1"/>
          </w:tcPr>
          <w:p w14:paraId="589BC6C7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002" w:type="dxa"/>
            <w:gridSpan w:val="4"/>
            <w:shd w:val="clear" w:color="auto" w:fill="FFFFFF" w:themeFill="background1"/>
          </w:tcPr>
          <w:p w14:paraId="6B25B853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995" w:type="dxa"/>
            <w:gridSpan w:val="3"/>
            <w:shd w:val="clear" w:color="auto" w:fill="FFFFFF" w:themeFill="background1"/>
          </w:tcPr>
          <w:p w14:paraId="211D47E8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-</w:t>
            </w:r>
          </w:p>
        </w:tc>
        <w:tc>
          <w:tcPr>
            <w:tcW w:w="1422" w:type="dxa"/>
            <w:shd w:val="clear" w:color="auto" w:fill="FFFFFF" w:themeFill="background1"/>
          </w:tcPr>
          <w:p w14:paraId="7B5C5D94" w14:textId="77777777" w:rsidR="00D71DA0" w:rsidRPr="00D71DA0" w:rsidRDefault="00D71DA0" w:rsidP="00D71D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-</w:t>
            </w:r>
          </w:p>
        </w:tc>
      </w:tr>
      <w:tr w:rsidR="00D71DA0" w:rsidRPr="00D71DA0" w14:paraId="33A9CB1D" w14:textId="77777777" w:rsidTr="5299995C">
        <w:trPr>
          <w:gridAfter w:val="1"/>
          <w:wAfter w:w="10" w:type="dxa"/>
          <w:trHeight w:val="142"/>
        </w:trPr>
        <w:tc>
          <w:tcPr>
            <w:tcW w:w="1323" w:type="dxa"/>
            <w:vMerge w:val="restart"/>
            <w:shd w:val="clear" w:color="auto" w:fill="FFFFFF" w:themeFill="background1"/>
          </w:tcPr>
          <w:p w14:paraId="1DC4460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W ujęciu niepieniężnym</w:t>
            </w: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0DC041FC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duże przedsiębiorstwa</w:t>
            </w:r>
          </w:p>
        </w:tc>
        <w:tc>
          <w:tcPr>
            <w:tcW w:w="7406" w:type="dxa"/>
            <w:gridSpan w:val="22"/>
            <w:shd w:val="clear" w:color="auto" w:fill="FFFFFF" w:themeFill="background1"/>
          </w:tcPr>
          <w:p w14:paraId="23B00B2F" w14:textId="41C8A9CD" w:rsidR="00D71DA0" w:rsidRPr="00783D8E" w:rsidRDefault="7F1451D4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Możliwe wystąpienie efektu wzrostu konkurencji </w:t>
            </w:r>
            <w:r w:rsidR="7EBBCDFF"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>między</w:t>
            </w:r>
            <w:r w:rsidRPr="0BE9357E">
              <w:rPr>
                <w:rFonts w:ascii="Times New Roman" w:eastAsia="Calibri" w:hAnsi="Times New Roman" w:cs="Times New Roman"/>
                <w:color w:val="000000" w:themeColor="text1"/>
                <w:sz w:val="21"/>
                <w:szCs w:val="21"/>
              </w:rPr>
              <w:t xml:space="preserve"> podmiotami wykonującymi świadczenia medyczne i dostawcami technologii medycznych oraz wzrostu ich konkurencyjności.</w:t>
            </w:r>
          </w:p>
        </w:tc>
      </w:tr>
      <w:tr w:rsidR="00D71DA0" w:rsidRPr="00D71DA0" w14:paraId="79040F99" w14:textId="77777777" w:rsidTr="5299995C">
        <w:trPr>
          <w:gridAfter w:val="1"/>
          <w:wAfter w:w="10" w:type="dxa"/>
          <w:trHeight w:val="142"/>
        </w:trPr>
        <w:tc>
          <w:tcPr>
            <w:tcW w:w="1323" w:type="dxa"/>
            <w:vMerge/>
          </w:tcPr>
          <w:p w14:paraId="13E1E47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5C0757CA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sektor mikro-, małych i średnich przedsiębiorstw</w:t>
            </w:r>
          </w:p>
        </w:tc>
        <w:tc>
          <w:tcPr>
            <w:tcW w:w="7406" w:type="dxa"/>
            <w:gridSpan w:val="22"/>
            <w:shd w:val="clear" w:color="auto" w:fill="FFFFFF" w:themeFill="background1"/>
          </w:tcPr>
          <w:p w14:paraId="20BFCC0F" w14:textId="77B0134E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Przedmiotowy projekt może mieć wpływ na działalność </w:t>
            </w:r>
            <w:proofErr w:type="spellStart"/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mikroprzedsiębiorców</w:t>
            </w:r>
            <w:proofErr w:type="spellEnd"/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, małych i średnich przedsiębiorców przez dostarczenie danych o jakości </w:t>
            </w:r>
            <w:r w:rsidR="00F55523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br/>
            </w:r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i efektywności wykonywanych przez nich procedur. Informacja ta może wpłynąć na poprawę jakości realizowanych przez nich świadczeń opieki zdrowotnej.</w:t>
            </w:r>
          </w:p>
        </w:tc>
      </w:tr>
      <w:tr w:rsidR="00D71DA0" w:rsidRPr="00D71DA0" w14:paraId="44B3D58C" w14:textId="77777777" w:rsidTr="5299995C">
        <w:trPr>
          <w:gridAfter w:val="1"/>
          <w:wAfter w:w="10" w:type="dxa"/>
          <w:trHeight w:val="596"/>
        </w:trPr>
        <w:tc>
          <w:tcPr>
            <w:tcW w:w="1323" w:type="dxa"/>
            <w:vMerge/>
          </w:tcPr>
          <w:p w14:paraId="2BD74A9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7D55F70B" w14:textId="77777777" w:rsidR="00D71DA0" w:rsidRPr="00783D8E" w:rsidRDefault="00D71DA0" w:rsidP="00D71DA0">
            <w:pPr>
              <w:tabs>
                <w:tab w:val="right" w:pos="1936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  <w:t>rodzina, obywatele oraz gospodarstwa domowe</w:t>
            </w: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 </w:t>
            </w:r>
          </w:p>
        </w:tc>
        <w:tc>
          <w:tcPr>
            <w:tcW w:w="7406" w:type="dxa"/>
            <w:gridSpan w:val="22"/>
            <w:shd w:val="clear" w:color="auto" w:fill="FFFFFF" w:themeFill="background1"/>
          </w:tcPr>
          <w:p w14:paraId="65F35FEC" w14:textId="5B8EA8FF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Poprawa jakości świadczonych usług endoprotezoplastyki</w:t>
            </w:r>
            <w:r w:rsidR="00022BD5"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skutkująca: polepszeniem jakości życia pacjentów poddanych endoprotezoplastyce, zmniejszeniem powikłań i potrzeb ponownych interwencji, a zatem zmniejszeniem ewentualnych absencji w pracy, utrzymaniem aktywności części emerytów, zmniejszeniem liczby rencistów.</w:t>
            </w:r>
            <w:r w:rsidR="00022BD5"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Utrzymanie aktywności operowanych pacjentów na rynku pracy jest szansą na utrzymanie dochodów ich rodzin i konsumpcji na poziomie sprzed operacji.</w:t>
            </w:r>
          </w:p>
        </w:tc>
      </w:tr>
      <w:tr w:rsidR="00D71DA0" w:rsidRPr="00D71DA0" w14:paraId="3D2FA28C" w14:textId="77777777" w:rsidTr="5299995C">
        <w:trPr>
          <w:gridAfter w:val="1"/>
          <w:wAfter w:w="10" w:type="dxa"/>
          <w:trHeight w:val="240"/>
        </w:trPr>
        <w:tc>
          <w:tcPr>
            <w:tcW w:w="1323" w:type="dxa"/>
            <w:vMerge/>
          </w:tcPr>
          <w:p w14:paraId="42143C8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1D6279EF" w14:textId="77777777" w:rsidR="00D71DA0" w:rsidRPr="00783D8E" w:rsidRDefault="00D71DA0" w:rsidP="00D71DA0">
            <w:pPr>
              <w:tabs>
                <w:tab w:val="right" w:pos="1936"/>
              </w:tabs>
              <w:spacing w:after="0" w:line="276" w:lineRule="auto"/>
              <w:rPr>
                <w:rFonts w:ascii="Times New Roman" w:eastAsia="Calibri" w:hAnsi="Times New Roman" w:cs="Times New Roman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osoby starsze, osoby niepełnosprawne</w:t>
            </w:r>
          </w:p>
        </w:tc>
        <w:tc>
          <w:tcPr>
            <w:tcW w:w="7406" w:type="dxa"/>
            <w:gridSpan w:val="22"/>
            <w:shd w:val="clear" w:color="auto" w:fill="FFFFFF" w:themeFill="background1"/>
          </w:tcPr>
          <w:p w14:paraId="65EC8177" w14:textId="58FA8027" w:rsidR="00D71DA0" w:rsidRPr="00783D8E" w:rsidRDefault="00D71DA0" w:rsidP="00D71DA0">
            <w:pPr>
              <w:tabs>
                <w:tab w:val="left" w:pos="3000"/>
              </w:tabs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Z poprawy jakości świadczonych usług endoprotezoplastyki skorzystają również osoby starsze i </w:t>
            </w:r>
            <w:r w:rsidR="00AD5FD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osoby z 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niepełnosprawn</w:t>
            </w:r>
            <w:r w:rsidR="00AD5FD2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ością</w:t>
            </w:r>
            <w:r w:rsidRPr="00175101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 xml:space="preserve"> przez zwiększenie prawdopodobieństwa przywrócenia sprawności lub zmniejszenia dolegliwości u tych osób.  </w:t>
            </w:r>
          </w:p>
        </w:tc>
      </w:tr>
      <w:tr w:rsidR="00D71DA0" w:rsidRPr="00D71DA0" w14:paraId="353D4A18" w14:textId="77777777" w:rsidTr="5299995C">
        <w:trPr>
          <w:gridAfter w:val="1"/>
          <w:wAfter w:w="10" w:type="dxa"/>
          <w:trHeight w:val="142"/>
        </w:trPr>
        <w:tc>
          <w:tcPr>
            <w:tcW w:w="1323" w:type="dxa"/>
            <w:shd w:val="clear" w:color="auto" w:fill="FFFFFF" w:themeFill="background1"/>
          </w:tcPr>
          <w:p w14:paraId="677BB96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Niemierzalne</w:t>
            </w:r>
          </w:p>
        </w:tc>
        <w:tc>
          <w:tcPr>
            <w:tcW w:w="2206" w:type="dxa"/>
            <w:gridSpan w:val="6"/>
            <w:shd w:val="clear" w:color="auto" w:fill="FFFFFF" w:themeFill="background1"/>
          </w:tcPr>
          <w:p w14:paraId="1084E835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7406" w:type="dxa"/>
            <w:gridSpan w:val="22"/>
            <w:shd w:val="clear" w:color="auto" w:fill="FFFFFF" w:themeFill="background1"/>
          </w:tcPr>
          <w:p w14:paraId="55CD04C8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1"/>
                <w:szCs w:val="21"/>
                <w14:ligatures w14:val="none"/>
              </w:rPr>
              <w:t>Nie dotyczy</w:t>
            </w:r>
          </w:p>
        </w:tc>
      </w:tr>
      <w:tr w:rsidR="00D71DA0" w:rsidRPr="00D71DA0" w14:paraId="635A0829" w14:textId="77777777" w:rsidTr="5299995C">
        <w:trPr>
          <w:gridAfter w:val="1"/>
          <w:wAfter w:w="10" w:type="dxa"/>
          <w:trHeight w:val="1643"/>
        </w:trPr>
        <w:tc>
          <w:tcPr>
            <w:tcW w:w="1866" w:type="dxa"/>
            <w:gridSpan w:val="2"/>
            <w:shd w:val="clear" w:color="auto" w:fill="FFFFFF" w:themeFill="background1"/>
          </w:tcPr>
          <w:p w14:paraId="0B50419B" w14:textId="77777777" w:rsidR="00D71DA0" w:rsidRPr="00783D8E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Dodatkowe informacje, w tym wskazanie źródeł danych i przyjętych do obliczeń założeń </w:t>
            </w:r>
          </w:p>
        </w:tc>
        <w:tc>
          <w:tcPr>
            <w:tcW w:w="9069" w:type="dxa"/>
            <w:gridSpan w:val="27"/>
            <w:shd w:val="clear" w:color="auto" w:fill="FFFFFF" w:themeFill="background1"/>
            <w:vAlign w:val="center"/>
          </w:tcPr>
          <w:p w14:paraId="20F18458" w14:textId="77777777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  <w:p w14:paraId="6C6EDDD0" w14:textId="77777777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783D8E"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Opracowano na podstawie danych przekazanych przez NFZ.</w:t>
            </w:r>
          </w:p>
          <w:p w14:paraId="74405717" w14:textId="77777777" w:rsidR="00D71DA0" w:rsidRPr="00783D8E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D71DA0" w:rsidRPr="00D71DA0" w14:paraId="3871DCE5" w14:textId="77777777" w:rsidTr="5299995C">
        <w:trPr>
          <w:gridAfter w:val="1"/>
          <w:wAfter w:w="10" w:type="dxa"/>
          <w:trHeight w:val="342"/>
        </w:trPr>
        <w:tc>
          <w:tcPr>
            <w:tcW w:w="10935" w:type="dxa"/>
            <w:gridSpan w:val="29"/>
            <w:shd w:val="clear" w:color="auto" w:fill="99CCFF"/>
            <w:vAlign w:val="center"/>
          </w:tcPr>
          <w:p w14:paraId="0FF80203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 Zmiana obciążeń regulacyjnych (w tym obowiązków informacyjnych) wynikających z projektu</w:t>
            </w:r>
          </w:p>
        </w:tc>
      </w:tr>
      <w:tr w:rsidR="00D71DA0" w:rsidRPr="00D71DA0" w14:paraId="7FBDA713" w14:textId="77777777" w:rsidTr="5299995C">
        <w:trPr>
          <w:gridAfter w:val="1"/>
          <w:wAfter w:w="10" w:type="dxa"/>
          <w:trHeight w:val="151"/>
        </w:trPr>
        <w:tc>
          <w:tcPr>
            <w:tcW w:w="10935" w:type="dxa"/>
            <w:gridSpan w:val="29"/>
            <w:shd w:val="clear" w:color="auto" w:fill="FFFFFF" w:themeFill="background1"/>
          </w:tcPr>
          <w:p w14:paraId="033412B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X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nie dotyczy</w:t>
            </w:r>
          </w:p>
        </w:tc>
      </w:tr>
      <w:tr w:rsidR="00D71DA0" w:rsidRPr="00D71DA0" w14:paraId="37986D52" w14:textId="77777777" w:rsidTr="5299995C">
        <w:trPr>
          <w:gridAfter w:val="1"/>
          <w:wAfter w:w="10" w:type="dxa"/>
          <w:trHeight w:val="946"/>
        </w:trPr>
        <w:tc>
          <w:tcPr>
            <w:tcW w:w="4907" w:type="dxa"/>
            <w:gridSpan w:val="12"/>
            <w:shd w:val="clear" w:color="auto" w:fill="FFFFFF" w:themeFill="background1"/>
          </w:tcPr>
          <w:p w14:paraId="29BF8C80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Wprowadzane są obciążenia poza bezwzględnie wymaganymi przez UE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(szczegóły w odwróconej tabeli zgodności).</w:t>
            </w:r>
          </w:p>
        </w:tc>
        <w:tc>
          <w:tcPr>
            <w:tcW w:w="6028" w:type="dxa"/>
            <w:gridSpan w:val="17"/>
            <w:shd w:val="clear" w:color="auto" w:fill="FFFFFF" w:themeFill="background1"/>
          </w:tcPr>
          <w:p w14:paraId="347DDA0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tak</w:t>
            </w:r>
          </w:p>
          <w:p w14:paraId="5B21011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nie</w:t>
            </w:r>
          </w:p>
          <w:p w14:paraId="1C34FB46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proofErr w:type="gramStart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  nie</w:t>
            </w:r>
            <w:proofErr w:type="gramEnd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dotyczy</w:t>
            </w:r>
          </w:p>
        </w:tc>
      </w:tr>
      <w:tr w:rsidR="00D71DA0" w:rsidRPr="00D71DA0" w14:paraId="7FD3152A" w14:textId="77777777" w:rsidTr="5299995C">
        <w:trPr>
          <w:gridAfter w:val="1"/>
          <w:wAfter w:w="10" w:type="dxa"/>
          <w:trHeight w:val="1245"/>
        </w:trPr>
        <w:tc>
          <w:tcPr>
            <w:tcW w:w="4907" w:type="dxa"/>
            <w:gridSpan w:val="12"/>
            <w:shd w:val="clear" w:color="auto" w:fill="FFFFFF" w:themeFill="background1"/>
          </w:tcPr>
          <w:p w14:paraId="6DA6A1CD" w14:textId="312FAD21" w:rsidR="00D71DA0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zmniejszenie liczby dokumentów </w:t>
            </w:r>
          </w:p>
          <w:p w14:paraId="2C9A2C76" w14:textId="28B16CD9" w:rsidR="00D71DA0" w:rsidRPr="00D71DA0" w:rsidRDefault="004B6FD8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="00D71DA0"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zmniejszenie liczby procedur</w:t>
            </w:r>
          </w:p>
          <w:p w14:paraId="31A86F6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skrócenie czasu na załatwienie sprawy</w:t>
            </w:r>
          </w:p>
          <w:p w14:paraId="25C78A28" w14:textId="77777777" w:rsidR="00D71DA0" w:rsidRPr="00D71DA0" w:rsidRDefault="00D71DA0" w:rsidP="00D71DA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inne: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</w:tc>
        <w:tc>
          <w:tcPr>
            <w:tcW w:w="6028" w:type="dxa"/>
            <w:gridSpan w:val="17"/>
            <w:shd w:val="clear" w:color="auto" w:fill="FFFFFF" w:themeFill="background1"/>
          </w:tcPr>
          <w:p w14:paraId="730BE70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zwiększenie liczby dokumentów</w:t>
            </w:r>
          </w:p>
          <w:p w14:paraId="2AAB418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zwiększenie liczby procedur</w:t>
            </w:r>
          </w:p>
          <w:p w14:paraId="06FE8CA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wydłużenie czasu na załatwienie sprawy</w:t>
            </w:r>
          </w:p>
          <w:p w14:paraId="6E678324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inne: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  <w:p w14:paraId="141EE20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71DA0" w:rsidRPr="00D71DA0" w14:paraId="17FB6C62" w14:textId="77777777" w:rsidTr="5299995C">
        <w:trPr>
          <w:gridAfter w:val="1"/>
          <w:wAfter w:w="10" w:type="dxa"/>
          <w:trHeight w:val="870"/>
        </w:trPr>
        <w:tc>
          <w:tcPr>
            <w:tcW w:w="4907" w:type="dxa"/>
            <w:gridSpan w:val="12"/>
            <w:shd w:val="clear" w:color="auto" w:fill="FFFFFF" w:themeFill="background1"/>
          </w:tcPr>
          <w:p w14:paraId="5FDFE38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Wprowadzane obciążenia są przystosowane do ich elektronizacji. </w:t>
            </w:r>
          </w:p>
        </w:tc>
        <w:tc>
          <w:tcPr>
            <w:tcW w:w="6028" w:type="dxa"/>
            <w:gridSpan w:val="17"/>
            <w:shd w:val="clear" w:color="auto" w:fill="FFFFFF" w:themeFill="background1"/>
          </w:tcPr>
          <w:p w14:paraId="2B292BEE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tak</w:t>
            </w:r>
          </w:p>
          <w:p w14:paraId="65871A88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nie</w:t>
            </w:r>
          </w:p>
          <w:p w14:paraId="0B11C1C7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proofErr w:type="gramStart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X  nie</w:t>
            </w:r>
            <w:proofErr w:type="gramEnd"/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dotyczy</w:t>
            </w:r>
          </w:p>
          <w:p w14:paraId="4343B82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3E5069" w:rsidRPr="00D71DA0" w14:paraId="4F8A1794" w14:textId="77777777" w:rsidTr="5299995C">
        <w:trPr>
          <w:gridAfter w:val="1"/>
          <w:wAfter w:w="10" w:type="dxa"/>
          <w:trHeight w:val="870"/>
        </w:trPr>
        <w:tc>
          <w:tcPr>
            <w:tcW w:w="10935" w:type="dxa"/>
            <w:gridSpan w:val="29"/>
            <w:shd w:val="clear" w:color="auto" w:fill="FFFFFF" w:themeFill="background1"/>
          </w:tcPr>
          <w:p w14:paraId="0F912D78" w14:textId="0D0B31D4" w:rsidR="003E5069" w:rsidRPr="00D71DA0" w:rsidRDefault="1402CA77" w:rsidP="529999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Komentarz: Projektowane zmiany nie będą stanowiły dodatkowe</w:t>
            </w:r>
            <w:r w:rsidR="1482050A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go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obciążenia administracyjnego dla podmiotów zobowiązanych do przekazywania danych do rejestru endoprotezoplastyk. Głównym celem projektu jest </w:t>
            </w:r>
            <w:r w:rsidR="1482050A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m.in. wdrożenie rozwiązań deregulacyjnych, które pozwolą na ograniczenie raportowania do rejestru endoprotezoplastyk danych, których przetwarzanie jest niecelowe oraz nie posiada wartości statystyczno-analitycznej, co odciąż</w:t>
            </w:r>
            <w:r w:rsidR="5ACECE16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y</w:t>
            </w:r>
            <w:r w:rsidR="1482050A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podmioty zobowiązane do wprowadzania danych do rejestru. </w:t>
            </w:r>
          </w:p>
        </w:tc>
      </w:tr>
      <w:tr w:rsidR="00D71DA0" w:rsidRPr="00D71DA0" w14:paraId="0DFD9B3D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99CCFF"/>
          </w:tcPr>
          <w:p w14:paraId="2379AD64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Wpływ na rynek pracy </w:t>
            </w:r>
          </w:p>
        </w:tc>
      </w:tr>
      <w:tr w:rsidR="00D71DA0" w:rsidRPr="00D71DA0" w14:paraId="0F40CDB9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</w:tcPr>
          <w:p w14:paraId="553938B1" w14:textId="16059AF2" w:rsidR="00D71DA0" w:rsidRPr="00D71DA0" w:rsidRDefault="008D2D44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8D2D44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Poprawa jakości świadczonych usług endoprotezoplastyki będzie skutkować mniejszą liczbą powikłań, a zatem zmniejszeniem absencji w pracy oraz zmniejszeniem liczby rencistów. Większa liczba pacjentów będzie miała szansę na utrzymanie aktywności na rynku pracy.</w:t>
            </w:r>
          </w:p>
        </w:tc>
      </w:tr>
      <w:tr w:rsidR="00D71DA0" w:rsidRPr="00D71DA0" w14:paraId="3DAAD5A7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99CCFF"/>
          </w:tcPr>
          <w:p w14:paraId="4420E981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>Wpływ na pozostałe obszary</w:t>
            </w:r>
          </w:p>
        </w:tc>
      </w:tr>
      <w:tr w:rsidR="00D71DA0" w:rsidRPr="00D71DA0" w14:paraId="573AA6B5" w14:textId="77777777" w:rsidTr="5299995C">
        <w:trPr>
          <w:gridAfter w:val="1"/>
          <w:wAfter w:w="10" w:type="dxa"/>
          <w:trHeight w:val="1031"/>
        </w:trPr>
        <w:tc>
          <w:tcPr>
            <w:tcW w:w="3170" w:type="dxa"/>
            <w:gridSpan w:val="5"/>
            <w:shd w:val="clear" w:color="auto" w:fill="FFFFFF" w:themeFill="background1"/>
          </w:tcPr>
          <w:p w14:paraId="5DD32EB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09B36A5D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środowisko naturalne</w:t>
            </w:r>
          </w:p>
          <w:p w14:paraId="43042363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sytuacja i rozwój regionalny</w:t>
            </w:r>
          </w:p>
          <w:p w14:paraId="10CE703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>sądy powszechne, administracyjne lub wojskowe</w:t>
            </w:r>
          </w:p>
        </w:tc>
        <w:tc>
          <w:tcPr>
            <w:tcW w:w="3941" w:type="dxa"/>
            <w:gridSpan w:val="15"/>
            <w:shd w:val="clear" w:color="auto" w:fill="FFFFFF" w:themeFill="background1"/>
          </w:tcPr>
          <w:p w14:paraId="5AB4EE3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6A2378D6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demografia</w:t>
            </w:r>
          </w:p>
          <w:p w14:paraId="6DDFA72B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mienie państwowe</w:t>
            </w:r>
          </w:p>
          <w:p w14:paraId="381D1F5F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inne: 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FORMTEXT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Calibri" w:cs="Times New Roman"/>
                <w:noProof/>
                <w:color w:val="000000"/>
                <w:kern w:val="0"/>
                <w:sz w:val="22"/>
                <w:szCs w:val="22"/>
                <w14:ligatures w14:val="none"/>
              </w:rPr>
              <w:t> </w: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</w:p>
        </w:tc>
        <w:tc>
          <w:tcPr>
            <w:tcW w:w="3824" w:type="dxa"/>
            <w:gridSpan w:val="9"/>
            <w:shd w:val="clear" w:color="auto" w:fill="FFFFFF" w:themeFill="background1"/>
          </w:tcPr>
          <w:p w14:paraId="50495800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  <w:p w14:paraId="28C1E5B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instrText xml:space="preserve"> FORMCHECKBOX </w:instrText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separate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fldChar w:fldCharType="end"/>
            </w: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informatyzacja</w:t>
            </w:r>
          </w:p>
          <w:p w14:paraId="3195B482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X </w:t>
            </w: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zdrowie</w:t>
            </w:r>
          </w:p>
        </w:tc>
      </w:tr>
      <w:tr w:rsidR="00D71DA0" w:rsidRPr="00D71DA0" w14:paraId="626D2D8C" w14:textId="77777777" w:rsidTr="5299995C">
        <w:trPr>
          <w:gridAfter w:val="1"/>
          <w:wAfter w:w="10" w:type="dxa"/>
          <w:trHeight w:val="712"/>
        </w:trPr>
        <w:tc>
          <w:tcPr>
            <w:tcW w:w="1866" w:type="dxa"/>
            <w:gridSpan w:val="2"/>
            <w:shd w:val="clear" w:color="auto" w:fill="FFFFFF" w:themeFill="background1"/>
            <w:vAlign w:val="center"/>
          </w:tcPr>
          <w:p w14:paraId="001A5289" w14:textId="77777777" w:rsidR="00D71DA0" w:rsidRPr="00D71DA0" w:rsidRDefault="00D71DA0" w:rsidP="00D71D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Omówienie wpływu</w:t>
            </w:r>
          </w:p>
        </w:tc>
        <w:tc>
          <w:tcPr>
            <w:tcW w:w="9069" w:type="dxa"/>
            <w:gridSpan w:val="27"/>
            <w:shd w:val="clear" w:color="auto" w:fill="FFFFFF" w:themeFill="background1"/>
            <w:vAlign w:val="center"/>
          </w:tcPr>
          <w:p w14:paraId="08C4DC5F" w14:textId="77777777" w:rsidR="00F0264F" w:rsidRPr="00F0264F" w:rsidRDefault="00F0264F" w:rsidP="00F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F0264F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Rejestr stanowi narzędzie analiz pozwalających lepiej zarządzać finansami publicznymi.</w:t>
            </w:r>
          </w:p>
          <w:p w14:paraId="17E25F42" w14:textId="0346EA01" w:rsidR="00D71DA0" w:rsidRPr="00D71DA0" w:rsidRDefault="00F0264F" w:rsidP="00F026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F0264F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Analizy dotyczące jakości i skuteczności technologii medycznych służą podnoszeniu jakości świadczeń, a dzięki temu również jakości życia osób u których zabiegi endoprotezoplastyki będą wykonywane.</w:t>
            </w:r>
          </w:p>
        </w:tc>
      </w:tr>
      <w:tr w:rsidR="00D71DA0" w:rsidRPr="00D71DA0" w14:paraId="74ECFEC7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99CCFF"/>
          </w:tcPr>
          <w:p w14:paraId="117948DD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1"/>
                <w:szCs w:val="21"/>
                <w14:ligatures w14:val="none"/>
              </w:rPr>
              <w:t>Planowane wykonanie przepisów aktu prawnego</w:t>
            </w:r>
          </w:p>
        </w:tc>
      </w:tr>
      <w:tr w:rsidR="00D71DA0" w:rsidRPr="00D71DA0" w14:paraId="1C3454BB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FFFFFF" w:themeFill="background1"/>
          </w:tcPr>
          <w:p w14:paraId="42F716D9" w14:textId="09945468" w:rsidR="00D71DA0" w:rsidRPr="00D71DA0" w:rsidRDefault="00D71DA0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Rozporządzenie wejdzie w życie po upływie </w:t>
            </w:r>
            <w:r w:rsidR="00646E6E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6 </w:t>
            </w:r>
            <w:r w:rsidR="00FC0C12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>miesi</w:t>
            </w:r>
            <w:r w:rsidR="00646E6E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ęcy </w:t>
            </w:r>
            <w:r w:rsidRPr="00D71DA0">
              <w:rPr>
                <w:rFonts w:ascii="Times New Roman" w:eastAsia="Calibri" w:hAnsi="Times New Roman" w:cs="Times New Roman"/>
                <w:spacing w:val="-2"/>
                <w:kern w:val="0"/>
                <w:sz w:val="22"/>
                <w:szCs w:val="22"/>
                <w14:ligatures w14:val="none"/>
              </w:rPr>
              <w:t xml:space="preserve">od dnia ogłoszenia. </w:t>
            </w:r>
          </w:p>
        </w:tc>
      </w:tr>
      <w:tr w:rsidR="00D71DA0" w:rsidRPr="00D71DA0" w14:paraId="7A887382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99CCFF"/>
          </w:tcPr>
          <w:p w14:paraId="1EA351DE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1"/>
                <w:szCs w:val="21"/>
                <w14:ligatures w14:val="none"/>
              </w:rPr>
              <w:t>W jaki sposób i kiedy nastąpi ewaluacja efektów projektu oraz jakie mierniki zostaną zastosowane?</w:t>
            </w:r>
          </w:p>
        </w:tc>
      </w:tr>
      <w:tr w:rsidR="00D71DA0" w:rsidRPr="00D71DA0" w14:paraId="1C7A1BE6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FFFFFF" w:themeFill="background1"/>
          </w:tcPr>
          <w:p w14:paraId="2A00B60E" w14:textId="77777777" w:rsidR="004B6FD8" w:rsidRPr="004B6FD8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Rejestr jest narzędziem, które umożliwia osiąganie efektów wskazanych w części 2 OSR.</w:t>
            </w:r>
          </w:p>
          <w:p w14:paraId="0543FE29" w14:textId="4AE38197" w:rsidR="00D71DA0" w:rsidRPr="00D71DA0" w:rsidRDefault="004B6FD8" w:rsidP="004B6F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4B6FD8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>Miernikiem będą generowane analizy i prowadzenie obserwacji zjawisk (cech działań lub przedmiotów) wskazanych w części 2 OSR. Ewaluacja następować będzie na bieżąco, z uwagi na nieprzerwane funkcjonowanie rejestru od 2019 r</w:t>
            </w:r>
            <w:r w:rsidR="00F14FB6"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. </w:t>
            </w:r>
          </w:p>
        </w:tc>
      </w:tr>
      <w:tr w:rsidR="00D71DA0" w:rsidRPr="00D71DA0" w14:paraId="26EFE213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99CCFF"/>
          </w:tcPr>
          <w:p w14:paraId="138D1874" w14:textId="77777777" w:rsidR="00D71DA0" w:rsidRPr="00D71DA0" w:rsidRDefault="00D71DA0" w:rsidP="00D71DA0">
            <w:pPr>
              <w:numPr>
                <w:ilvl w:val="0"/>
                <w:numId w:val="1"/>
              </w:numPr>
              <w:spacing w:before="60" w:after="60" w:line="240" w:lineRule="auto"/>
              <w:ind w:left="318" w:hanging="284"/>
              <w:jc w:val="both"/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 w:rsidRPr="00D71DA0"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Załączniki </w:t>
            </w:r>
            <w:r w:rsidRPr="00D71DA0">
              <w:rPr>
                <w:rFonts w:ascii="Times New Roman" w:eastAsia="Calibri" w:hAnsi="Times New Roman" w:cs="Times New Roman"/>
                <w:b/>
                <w:spacing w:val="-2"/>
                <w:kern w:val="0"/>
                <w:sz w:val="21"/>
                <w:szCs w:val="21"/>
                <w14:ligatures w14:val="none"/>
              </w:rPr>
              <w:t>(istotne dokumenty źródłowe, badania, analizy itp.</w:t>
            </w:r>
            <w:r w:rsidRPr="00D71DA0">
              <w:rPr>
                <w:rFonts w:ascii="Times New Roman" w:eastAsia="Calibri" w:hAnsi="Times New Roman" w:cs="Times New Roman"/>
                <w:b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) </w:t>
            </w:r>
          </w:p>
        </w:tc>
      </w:tr>
      <w:tr w:rsidR="00D71DA0" w:rsidRPr="00D71DA0" w14:paraId="571B370A" w14:textId="77777777" w:rsidTr="5299995C">
        <w:trPr>
          <w:gridAfter w:val="1"/>
          <w:wAfter w:w="10" w:type="dxa"/>
          <w:trHeight w:val="142"/>
        </w:trPr>
        <w:tc>
          <w:tcPr>
            <w:tcW w:w="10935" w:type="dxa"/>
            <w:gridSpan w:val="29"/>
            <w:shd w:val="clear" w:color="auto" w:fill="FFFFFF" w:themeFill="background1"/>
          </w:tcPr>
          <w:p w14:paraId="0AE39015" w14:textId="5A1C736B" w:rsidR="00D71DA0" w:rsidRPr="00D71DA0" w:rsidRDefault="004B6FD8" w:rsidP="00D71D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2"/>
                <w:szCs w:val="22"/>
                <w14:ligatures w14:val="none"/>
              </w:rPr>
              <w:t xml:space="preserve">Szablon oceny skutków dla ochrony danych. </w:t>
            </w:r>
          </w:p>
        </w:tc>
      </w:tr>
    </w:tbl>
    <w:p w14:paraId="4A1B6A6D" w14:textId="77777777" w:rsidR="00D71DA0" w:rsidRPr="00D71DA0" w:rsidRDefault="00D71DA0" w:rsidP="00D71DA0">
      <w:pPr>
        <w:spacing w:after="120" w:line="276" w:lineRule="auto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282CE35D" w14:textId="77777777" w:rsidR="00E60A4F" w:rsidRDefault="00E60A4F"/>
    <w:sectPr w:rsidR="00E60A4F" w:rsidSect="00D71DA0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C53E4"/>
    <w:multiLevelType w:val="hybridMultilevel"/>
    <w:tmpl w:val="159AFF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C12040"/>
    <w:multiLevelType w:val="hybridMultilevel"/>
    <w:tmpl w:val="D1C03A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16919449">
    <w:abstractNumId w:val="0"/>
  </w:num>
  <w:num w:numId="2" w16cid:durableId="11451960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7027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DA0"/>
    <w:rsid w:val="00004F2D"/>
    <w:rsid w:val="00022BD5"/>
    <w:rsid w:val="000444C3"/>
    <w:rsid w:val="00054145"/>
    <w:rsid w:val="00073E8E"/>
    <w:rsid w:val="0007FB40"/>
    <w:rsid w:val="0008086D"/>
    <w:rsid w:val="00080895"/>
    <w:rsid w:val="00084C37"/>
    <w:rsid w:val="000E58A2"/>
    <w:rsid w:val="00103789"/>
    <w:rsid w:val="00144E40"/>
    <w:rsid w:val="00145545"/>
    <w:rsid w:val="0015507F"/>
    <w:rsid w:val="00162FBC"/>
    <w:rsid w:val="00173061"/>
    <w:rsid w:val="00175101"/>
    <w:rsid w:val="00177C93"/>
    <w:rsid w:val="0018359E"/>
    <w:rsid w:val="001B7579"/>
    <w:rsid w:val="001B7F3F"/>
    <w:rsid w:val="001C178A"/>
    <w:rsid w:val="001C1CCA"/>
    <w:rsid w:val="00226DF7"/>
    <w:rsid w:val="0024001F"/>
    <w:rsid w:val="002403A4"/>
    <w:rsid w:val="002D03C1"/>
    <w:rsid w:val="00300F06"/>
    <w:rsid w:val="00303AB2"/>
    <w:rsid w:val="00324C7B"/>
    <w:rsid w:val="00343BCA"/>
    <w:rsid w:val="00366317"/>
    <w:rsid w:val="003840FC"/>
    <w:rsid w:val="00397FF7"/>
    <w:rsid w:val="003B273B"/>
    <w:rsid w:val="003E034A"/>
    <w:rsid w:val="003E081D"/>
    <w:rsid w:val="003E29E8"/>
    <w:rsid w:val="003E5069"/>
    <w:rsid w:val="00426D5F"/>
    <w:rsid w:val="00427846"/>
    <w:rsid w:val="00430451"/>
    <w:rsid w:val="00461D94"/>
    <w:rsid w:val="00466B93"/>
    <w:rsid w:val="004B6FD8"/>
    <w:rsid w:val="004C48C2"/>
    <w:rsid w:val="004D6548"/>
    <w:rsid w:val="004F684A"/>
    <w:rsid w:val="004F6E49"/>
    <w:rsid w:val="00515417"/>
    <w:rsid w:val="00520E75"/>
    <w:rsid w:val="00543CB9"/>
    <w:rsid w:val="0055513B"/>
    <w:rsid w:val="0055574B"/>
    <w:rsid w:val="00556C33"/>
    <w:rsid w:val="005E1F58"/>
    <w:rsid w:val="006039B6"/>
    <w:rsid w:val="00630911"/>
    <w:rsid w:val="00641DD0"/>
    <w:rsid w:val="00646E6E"/>
    <w:rsid w:val="00650469"/>
    <w:rsid w:val="0066172B"/>
    <w:rsid w:val="006943A4"/>
    <w:rsid w:val="006A674B"/>
    <w:rsid w:val="006B2F6C"/>
    <w:rsid w:val="006C013F"/>
    <w:rsid w:val="006C4555"/>
    <w:rsid w:val="006D4FE2"/>
    <w:rsid w:val="007025DB"/>
    <w:rsid w:val="00707956"/>
    <w:rsid w:val="00725E1E"/>
    <w:rsid w:val="00745498"/>
    <w:rsid w:val="0075234D"/>
    <w:rsid w:val="00783D8E"/>
    <w:rsid w:val="00784497"/>
    <w:rsid w:val="007910FC"/>
    <w:rsid w:val="007A01C6"/>
    <w:rsid w:val="007B1790"/>
    <w:rsid w:val="007C5F8F"/>
    <w:rsid w:val="007E2765"/>
    <w:rsid w:val="007E5520"/>
    <w:rsid w:val="007E6A3D"/>
    <w:rsid w:val="00821352"/>
    <w:rsid w:val="0084330A"/>
    <w:rsid w:val="008458E5"/>
    <w:rsid w:val="00874E98"/>
    <w:rsid w:val="008A11BB"/>
    <w:rsid w:val="008C7250"/>
    <w:rsid w:val="008C7F1B"/>
    <w:rsid w:val="008D2D44"/>
    <w:rsid w:val="008E6D0B"/>
    <w:rsid w:val="00903B04"/>
    <w:rsid w:val="009956E1"/>
    <w:rsid w:val="009C179F"/>
    <w:rsid w:val="009C7BAA"/>
    <w:rsid w:val="00A329FA"/>
    <w:rsid w:val="00A47648"/>
    <w:rsid w:val="00A579A9"/>
    <w:rsid w:val="00A76A61"/>
    <w:rsid w:val="00A8747F"/>
    <w:rsid w:val="00A90922"/>
    <w:rsid w:val="00A922BD"/>
    <w:rsid w:val="00A9607F"/>
    <w:rsid w:val="00AA15E1"/>
    <w:rsid w:val="00AA367C"/>
    <w:rsid w:val="00AA3790"/>
    <w:rsid w:val="00AB2428"/>
    <w:rsid w:val="00AD5FD2"/>
    <w:rsid w:val="00B170AA"/>
    <w:rsid w:val="00B224D0"/>
    <w:rsid w:val="00B31CCB"/>
    <w:rsid w:val="00B33EFF"/>
    <w:rsid w:val="00B34EE4"/>
    <w:rsid w:val="00B57A1B"/>
    <w:rsid w:val="00B57C25"/>
    <w:rsid w:val="00B74B74"/>
    <w:rsid w:val="00C343D5"/>
    <w:rsid w:val="00C63B7A"/>
    <w:rsid w:val="00C8114B"/>
    <w:rsid w:val="00C97BB9"/>
    <w:rsid w:val="00CC3022"/>
    <w:rsid w:val="00CF14D4"/>
    <w:rsid w:val="00D21CE3"/>
    <w:rsid w:val="00D71DA0"/>
    <w:rsid w:val="00DA5A0C"/>
    <w:rsid w:val="00DD1F5E"/>
    <w:rsid w:val="00E103AC"/>
    <w:rsid w:val="00E4396B"/>
    <w:rsid w:val="00E60A4F"/>
    <w:rsid w:val="00E6106E"/>
    <w:rsid w:val="00E6213B"/>
    <w:rsid w:val="00E75947"/>
    <w:rsid w:val="00E921B8"/>
    <w:rsid w:val="00ED1488"/>
    <w:rsid w:val="00EE390C"/>
    <w:rsid w:val="00F00E3A"/>
    <w:rsid w:val="00F0264F"/>
    <w:rsid w:val="00F124C8"/>
    <w:rsid w:val="00F14FB6"/>
    <w:rsid w:val="00F263D8"/>
    <w:rsid w:val="00F506CF"/>
    <w:rsid w:val="00F55523"/>
    <w:rsid w:val="00F80103"/>
    <w:rsid w:val="00F828DB"/>
    <w:rsid w:val="00F83AB6"/>
    <w:rsid w:val="00F9341D"/>
    <w:rsid w:val="00FA7880"/>
    <w:rsid w:val="00FC0C12"/>
    <w:rsid w:val="02963B3F"/>
    <w:rsid w:val="0BE9357E"/>
    <w:rsid w:val="0C184E19"/>
    <w:rsid w:val="0C34BC35"/>
    <w:rsid w:val="10394DD6"/>
    <w:rsid w:val="13047972"/>
    <w:rsid w:val="1402CA77"/>
    <w:rsid w:val="1420CEF0"/>
    <w:rsid w:val="1482050A"/>
    <w:rsid w:val="1D0C77DB"/>
    <w:rsid w:val="1E9DF14C"/>
    <w:rsid w:val="1FC800CE"/>
    <w:rsid w:val="20C5E238"/>
    <w:rsid w:val="23B7C205"/>
    <w:rsid w:val="23F51F6F"/>
    <w:rsid w:val="2703BAB7"/>
    <w:rsid w:val="2B0C5F4B"/>
    <w:rsid w:val="3015A433"/>
    <w:rsid w:val="349E1E03"/>
    <w:rsid w:val="389AA534"/>
    <w:rsid w:val="3D1B7A4D"/>
    <w:rsid w:val="429AB74F"/>
    <w:rsid w:val="43D37012"/>
    <w:rsid w:val="48691E13"/>
    <w:rsid w:val="491DE070"/>
    <w:rsid w:val="4D2E3431"/>
    <w:rsid w:val="5088DB02"/>
    <w:rsid w:val="5299995C"/>
    <w:rsid w:val="553E73A3"/>
    <w:rsid w:val="5904E798"/>
    <w:rsid w:val="59326567"/>
    <w:rsid w:val="5ABCC9F4"/>
    <w:rsid w:val="5ACECE16"/>
    <w:rsid w:val="5B7E7932"/>
    <w:rsid w:val="5C710214"/>
    <w:rsid w:val="5EC916F3"/>
    <w:rsid w:val="642AF44F"/>
    <w:rsid w:val="64468309"/>
    <w:rsid w:val="65158925"/>
    <w:rsid w:val="6F1FB809"/>
    <w:rsid w:val="749FAE9B"/>
    <w:rsid w:val="7929826E"/>
    <w:rsid w:val="7EBBCDFF"/>
    <w:rsid w:val="7F14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A466D"/>
  <w15:chartTrackingRefBased/>
  <w15:docId w15:val="{C6412CE6-DAE2-407E-BC78-0AC4DBE5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1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1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1D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1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1D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1D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1D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1D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1D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1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1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1D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1D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1D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1D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1D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1D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1D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1D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1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1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1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1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1D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1D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1D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1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1D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1DA0"/>
    <w:rPr>
      <w:b/>
      <w:bCs/>
      <w:smallCaps/>
      <w:color w:val="0F4761" w:themeColor="accent1" w:themeShade="BF"/>
      <w:spacing w:val="5"/>
    </w:rPr>
  </w:style>
  <w:style w:type="character" w:customStyle="1" w:styleId="CommentReference">
    <w:name w:val="Comment Reference"/>
    <w:uiPriority w:val="99"/>
    <w:semiHidden/>
    <w:unhideWhenUsed/>
    <w:rsid w:val="00D71DA0"/>
    <w:rPr>
      <w:sz w:val="16"/>
      <w:szCs w:val="16"/>
    </w:rPr>
  </w:style>
  <w:style w:type="paragraph" w:customStyle="1" w:styleId="CommentText">
    <w:name w:val="Comment Text"/>
    <w:basedOn w:val="Normalny"/>
    <w:link w:val="CommentTextChar"/>
    <w:uiPriority w:val="99"/>
    <w:unhideWhenUsed/>
    <w:rsid w:val="00D71DA0"/>
    <w:pPr>
      <w:spacing w:after="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omylnaczcionkaakapitu"/>
    <w:link w:val="CommentText"/>
    <w:uiPriority w:val="99"/>
    <w:rsid w:val="00D71DA0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8E6D0B"/>
    <w:pPr>
      <w:spacing w:after="160" w:line="240" w:lineRule="auto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6D0B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A329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56F75422AC03479FB5B603D029EB12" ma:contentTypeVersion="24" ma:contentTypeDescription="Utwórz nowy dokument." ma:contentTypeScope="" ma:versionID="8a91d2b66d1b523ee85a9641cb3d703d">
  <xsd:schema xmlns:xsd="http://www.w3.org/2001/XMLSchema" xmlns:xs="http://www.w3.org/2001/XMLSchema" xmlns:p="http://schemas.microsoft.com/office/2006/metadata/properties" xmlns:ns2="4a4f68e9-3f33-45b9-a085-f2832c45a180" xmlns:ns3="b1c84d6c-8fa0-45bd-8cfc-d3e197c409ed" targetNamespace="http://schemas.microsoft.com/office/2006/metadata/properties" ma:root="true" ma:fieldsID="d79066c001e3b05e449af7c84a63c79c" ns2:_="" ns3:_="">
    <xsd:import namespace="4a4f68e9-3f33-45b9-a085-f2832c45a180"/>
    <xsd:import namespace="b1c84d6c-8fa0-45bd-8cfc-d3e197c40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opis" minOccurs="0"/>
                <xsd:element ref="ns2:Departament" minOccurs="0"/>
                <xsd:element ref="ns2:DAS_x002d_analizy" minOccurs="0"/>
                <xsd:element ref="ns2:DaneZagreg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f68e9-3f33-45b9-a085-f2832c45a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835e703-0ab1-479c-86ae-40704161ae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pis" ma:index="26" nillable="true" ma:displayName="opis" ma:format="Dropdown" ma:internalName="opis">
      <xsd:simpleType>
        <xsd:restriction base="dms:Text">
          <xsd:maxLength value="255"/>
        </xsd:restriction>
      </xsd:simpleType>
    </xsd:element>
    <xsd:element name="Departament" ma:index="27" nillable="true" ma:displayName="Departament" ma:format="Dropdown" ma:internalName="Departamen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P"/>
                    <xsd:enumeration value="DRKM"/>
                    <xsd:enumeration value="DZP"/>
                    <xsd:enumeration value="DOK"/>
                    <xsd:enumeration value="DDS"/>
                    <xsd:enumeration value="DL"/>
                    <xsd:enumeration value="DeZ"/>
                    <xsd:enumeration value="DEPZ"/>
                    <xsd:enumeration value="DWM"/>
                    <xsd:enumeration value="DRZ"/>
                    <xsd:enumeration value="DA"/>
                  </xsd:restriction>
                </xsd:simpleType>
              </xsd:element>
            </xsd:sequence>
          </xsd:extension>
        </xsd:complexContent>
      </xsd:complexType>
    </xsd:element>
    <xsd:element name="DAS_x002d_analizy" ma:index="28" nillable="true" ma:displayName="DAS-analizy" ma:default="NIE" ma:format="Dropdown" ma:internalName="DAS_x002d_analizy">
      <xsd:simpleType>
        <xsd:restriction base="dms:Choice">
          <xsd:enumeration value="TAK"/>
          <xsd:enumeration value="NIE"/>
        </xsd:restriction>
      </xsd:simpleType>
    </xsd:element>
    <xsd:element name="DaneZagreg" ma:index="29" nillable="true" ma:displayName="DaneZagreg" ma:default="TAK" ma:format="Dropdown" ma:internalName="DaneZagreg">
      <xsd:simpleType>
        <xsd:restriction base="dms:Choice">
          <xsd:enumeration value="TAK"/>
          <xsd:enumeration value="NIE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84d6c-8fa0-45bd-8cfc-d3e197c40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2463e4-4bdf-4158-8911-90c7514e3e82}" ma:internalName="TaxCatchAll" ma:readOnly="false" ma:showField="CatchAllData" ma:web="b1c84d6c-8fa0-45bd-8cfc-d3e197c40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c84d6c-8fa0-45bd-8cfc-d3e197c409ed" xsi:nil="true"/>
    <DAS_x002d_analizy xmlns="4a4f68e9-3f33-45b9-a085-f2832c45a180">NIE</DAS_x002d_analizy>
    <opis xmlns="4a4f68e9-3f33-45b9-a085-f2832c45a180" xsi:nil="true"/>
    <lcf76f155ced4ddcb4097134ff3c332f xmlns="4a4f68e9-3f33-45b9-a085-f2832c45a180">
      <Terms xmlns="http://schemas.microsoft.com/office/infopath/2007/PartnerControls"/>
    </lcf76f155ced4ddcb4097134ff3c332f>
    <Departament xmlns="4a4f68e9-3f33-45b9-a085-f2832c45a180" xsi:nil="true"/>
    <DaneZagreg xmlns="4a4f68e9-3f33-45b9-a085-f2832c45a180">TAK</DaneZagreg>
  </documentManagement>
</p:properties>
</file>

<file path=customXml/itemProps1.xml><?xml version="1.0" encoding="utf-8"?>
<ds:datastoreItem xmlns:ds="http://schemas.openxmlformats.org/officeDocument/2006/customXml" ds:itemID="{B41FD644-9D70-432E-A612-42D68FC3C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f68e9-3f33-45b9-a085-f2832c45a180"/>
    <ds:schemaRef ds:uri="b1c84d6c-8fa0-45bd-8cfc-d3e197c40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109140-21FF-46CC-9765-4ADB034EEC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3EDAC8-D751-4173-838A-84A8BEB1DF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1A6486-D722-48F9-A9B4-A111C7D2B341}">
  <ds:schemaRefs>
    <ds:schemaRef ds:uri="http://schemas.microsoft.com/office/2006/metadata/properties"/>
    <ds:schemaRef ds:uri="http://schemas.microsoft.com/office/infopath/2007/PartnerControls"/>
    <ds:schemaRef ds:uri="b1c84d6c-8fa0-45bd-8cfc-d3e197c409ed"/>
    <ds:schemaRef ds:uri="4a4f68e9-3f33-45b9-a085-f2832c45a1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3206</Words>
  <Characters>19239</Characters>
  <Application>Microsoft Office Word</Application>
  <DocSecurity>0</DocSecurity>
  <Lines>160</Lines>
  <Paragraphs>44</Paragraphs>
  <ScaleCrop>false</ScaleCrop>
  <Company/>
  <LinksUpToDate>false</LinksUpToDate>
  <CharactersWithSpaces>22401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Rocławska Julia</dc:creator>
  <cp:keywords/>
  <dc:description/>
  <cp:lastModifiedBy>Rynek Agata</cp:lastModifiedBy>
  <cp:revision>3</cp:revision>
  <cp:lastPrinted>2025-08-04T22:01:00Z</cp:lastPrinted>
  <dcterms:created xsi:type="dcterms:W3CDTF">2026-05-18T05:58:00Z</dcterms:created>
  <dcterms:modified xsi:type="dcterms:W3CDTF">2026-05-19T09:23:00Z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0x0101009656F75422AC03479FB5B603D029EB12</vt:lpwstr>
  </property>
  <property fmtid="{D5CDD505-2E9C-101B-9397-08002B2CF9AE}" pid="3" name="MediaServiceImageTags">
    <vt:lpwstr/>
  </property>
</Properties>
</file>